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1960" w14:textId="77777777" w:rsidR="00D354FA" w:rsidRPr="0070357C" w:rsidRDefault="00D354FA" w:rsidP="00D354FA">
      <w:pPr>
        <w:pStyle w:val="Heading7"/>
        <w:rPr>
          <w:rFonts w:eastAsia="Times New Roman"/>
          <w:noProof/>
          <w:sz w:val="8"/>
        </w:rPr>
      </w:pPr>
      <w:r w:rsidRPr="0070357C">
        <w:rPr>
          <w:rFonts w:eastAsia="Times New Roman"/>
          <w:noProof/>
        </w:rPr>
        <w:drawing>
          <wp:anchor distT="0" distB="0" distL="114300" distR="114300" simplePos="0" relativeHeight="251668480" behindDoc="1" locked="0" layoutInCell="1" allowOverlap="1" wp14:anchorId="41908C4A" wp14:editId="5267FAF1">
            <wp:simplePos x="0" y="0"/>
            <wp:positionH relativeFrom="column">
              <wp:posOffset>9525</wp:posOffset>
            </wp:positionH>
            <wp:positionV relativeFrom="paragraph">
              <wp:posOffset>-262255</wp:posOffset>
            </wp:positionV>
            <wp:extent cx="768350" cy="1089660"/>
            <wp:effectExtent l="0" t="0" r="0" b="0"/>
            <wp:wrapTight wrapText="bothSides">
              <wp:wrapPolygon edited="0">
                <wp:start x="0" y="0"/>
                <wp:lineTo x="0" y="21147"/>
                <wp:lineTo x="20886" y="21147"/>
                <wp:lineTo x="2088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8350" cy="1089660"/>
                    </a:xfrm>
                    <a:prstGeom prst="rect">
                      <a:avLst/>
                    </a:prstGeom>
                    <a:noFill/>
                    <a:ln w="9525">
                      <a:noFill/>
                      <a:miter lim="800000"/>
                      <a:headEnd/>
                      <a:tailEnd/>
                    </a:ln>
                  </pic:spPr>
                </pic:pic>
              </a:graphicData>
            </a:graphic>
          </wp:anchor>
        </w:drawing>
      </w:r>
      <w:r w:rsidRPr="0070357C">
        <w:rPr>
          <w:rFonts w:eastAsia="Times New Roman"/>
          <w:noProof/>
          <w:lang w:eastAsia="zh-TW"/>
        </w:rPr>
        <w:t>Asian Journal of Research in Zoology</w:t>
      </w:r>
    </w:p>
    <w:p w14:paraId="20E34295" w14:textId="77777777" w:rsidR="00D354FA" w:rsidRPr="0070357C" w:rsidRDefault="00D354FA" w:rsidP="00D354FA">
      <w:pPr>
        <w:spacing w:after="0" w:line="240" w:lineRule="auto"/>
        <w:ind w:left="2160"/>
        <w:contextualSpacing/>
        <w:rPr>
          <w:rFonts w:ascii="Times New Roman" w:eastAsia="Times New Roman" w:hAnsi="Times New Roman" w:cs="Times New Roman"/>
          <w:b/>
          <w:i/>
          <w:noProof/>
          <w:sz w:val="24"/>
          <w:szCs w:val="16"/>
          <w:lang w:eastAsia="zh-TW"/>
        </w:rPr>
      </w:pPr>
    </w:p>
    <w:p w14:paraId="497E0547" w14:textId="54DB940F" w:rsidR="00D354FA" w:rsidRPr="0070357C" w:rsidRDefault="00D354FA" w:rsidP="00D354FA">
      <w:pPr>
        <w:pStyle w:val="Heading8"/>
        <w:rPr>
          <w:rFonts w:eastAsia="Times New Roman"/>
        </w:rPr>
      </w:pPr>
      <w:r w:rsidRPr="0070357C">
        <w:rPr>
          <w:rFonts w:eastAsia="Times New Roman"/>
        </w:rPr>
        <w:t xml:space="preserve">Volume </w:t>
      </w:r>
      <w:r w:rsidR="00FF45EE">
        <w:rPr>
          <w:rFonts w:eastAsia="Times New Roman"/>
        </w:rPr>
        <w:t>9</w:t>
      </w:r>
      <w:r w:rsidRPr="0070357C">
        <w:rPr>
          <w:rFonts w:eastAsia="Times New Roman"/>
        </w:rPr>
        <w:t xml:space="preserve">, Issue </w:t>
      </w:r>
      <w:r w:rsidR="00FF45EE">
        <w:rPr>
          <w:rFonts w:eastAsia="Times New Roman"/>
        </w:rPr>
        <w:t>4</w:t>
      </w:r>
      <w:r w:rsidRPr="0070357C">
        <w:rPr>
          <w:rFonts w:eastAsia="Times New Roman"/>
        </w:rPr>
        <w:t xml:space="preserve">, Page </w:t>
      </w:r>
      <w:r w:rsidR="00FF45EE" w:rsidRPr="00FF45EE">
        <w:rPr>
          <w:rFonts w:eastAsia="Times New Roman"/>
        </w:rPr>
        <w:t>223-234</w:t>
      </w:r>
      <w:r w:rsidRPr="0070357C">
        <w:rPr>
          <w:rFonts w:eastAsia="Times New Roman"/>
        </w:rPr>
        <w:t xml:space="preserve">, </w:t>
      </w:r>
      <w:r w:rsidR="00FF45EE">
        <w:rPr>
          <w:rFonts w:eastAsia="Times New Roman"/>
        </w:rPr>
        <w:t>2026</w:t>
      </w:r>
      <w:r w:rsidRPr="0070357C">
        <w:rPr>
          <w:rFonts w:eastAsia="Times New Roman"/>
        </w:rPr>
        <w:t xml:space="preserve">; Article </w:t>
      </w:r>
      <w:proofErr w:type="gramStart"/>
      <w:r w:rsidRPr="0070357C">
        <w:rPr>
          <w:rFonts w:eastAsia="Times New Roman"/>
        </w:rPr>
        <w:t>no.AJRIZ</w:t>
      </w:r>
      <w:proofErr w:type="gramEnd"/>
      <w:r w:rsidRPr="0070357C">
        <w:rPr>
          <w:rFonts w:eastAsia="Times New Roman"/>
        </w:rPr>
        <w:t>.166665</w:t>
      </w:r>
    </w:p>
    <w:p w14:paraId="029D42A6" w14:textId="77777777" w:rsidR="00D354FA" w:rsidRPr="0070357C" w:rsidRDefault="00D354FA" w:rsidP="00D354FA">
      <w:pPr>
        <w:pStyle w:val="Heading8"/>
        <w:rPr>
          <w:rFonts w:eastAsia="Times New Roman"/>
        </w:rPr>
      </w:pPr>
      <w:r w:rsidRPr="0070357C">
        <w:rPr>
          <w:rFonts w:eastAsia="Times New Roman"/>
        </w:rPr>
        <w:t>ISSN: 2582-466X</w:t>
      </w:r>
    </w:p>
    <w:p w14:paraId="66128337" w14:textId="77777777" w:rsidR="00D354FA" w:rsidRPr="0070357C" w:rsidRDefault="00D354FA" w:rsidP="00D354FA">
      <w:pPr>
        <w:spacing w:after="0" w:line="240" w:lineRule="auto"/>
        <w:contextualSpacing/>
        <w:jc w:val="center"/>
        <w:rPr>
          <w:rFonts w:ascii="Times New Roman" w:eastAsia="Times New Roman" w:hAnsi="Times New Roman" w:cs="Times New Roman"/>
          <w:b/>
          <w:i/>
          <w:sz w:val="14"/>
          <w:szCs w:val="20"/>
        </w:rPr>
      </w:pPr>
    </w:p>
    <w:p w14:paraId="6F40B590" w14:textId="77777777" w:rsidR="00D354FA" w:rsidRPr="0070357C" w:rsidRDefault="00D354FA" w:rsidP="00D354FA">
      <w:pPr>
        <w:spacing w:after="0" w:line="240" w:lineRule="auto"/>
        <w:contextualSpacing/>
        <w:jc w:val="center"/>
        <w:rPr>
          <w:rFonts w:ascii="Times New Roman" w:eastAsia="Times New Roman" w:hAnsi="Times New Roman" w:cs="Times New Roman"/>
          <w:b/>
          <w:i/>
          <w:sz w:val="14"/>
          <w:szCs w:val="20"/>
        </w:rPr>
      </w:pPr>
    </w:p>
    <w:p w14:paraId="20824B54" w14:textId="47BFB501" w:rsidR="00D354FA" w:rsidRPr="0070357C" w:rsidRDefault="00000000" w:rsidP="00D354FA">
      <w:pPr>
        <w:spacing w:after="0" w:line="240" w:lineRule="auto"/>
        <w:contextualSpacing/>
        <w:jc w:val="center"/>
        <w:rPr>
          <w:rFonts w:ascii="Times New Roman" w:eastAsia="Times New Roman" w:hAnsi="Times New Roman" w:cs="Times New Roman"/>
          <w:b/>
          <w:bCs/>
          <w:kern w:val="28"/>
          <w:sz w:val="12"/>
          <w:szCs w:val="20"/>
        </w:rPr>
      </w:pPr>
      <w:r>
        <w:pict w14:anchorId="3FB644A1">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2" o:spid="_x0000_s2087" type="#_x0000_t34" style="width:450.7pt;height:.05pt;visibility:visible;mso-wrap-style:square;mso-left-percent:-10001;mso-top-percent:-10001;mso-position-horizontal:absolute;mso-position-horizontal-relative:char;mso-position-vertical:absolute;mso-position-vertical-relative:line;mso-left-percent:-10001;mso-top-percent:-10001" adj="10799" strokeweight="1.5pt">
            <o:lock v:ext="edit" aspectratio="t"/>
            <w10:anchorlock/>
          </v:shape>
        </w:pict>
      </w:r>
    </w:p>
    <w:p w14:paraId="7557B023" w14:textId="77777777" w:rsidR="00180820" w:rsidRPr="0070357C" w:rsidRDefault="00180820" w:rsidP="00BD060A">
      <w:pPr>
        <w:spacing w:after="0" w:line="240" w:lineRule="auto"/>
        <w:contextualSpacing/>
        <w:jc w:val="right"/>
        <w:rPr>
          <w:rFonts w:ascii="Times New Roman" w:eastAsia="Times New Roman" w:hAnsi="Times New Roman" w:cs="Times New Roman"/>
          <w:b/>
          <w:bCs/>
          <w:iCs/>
          <w:kern w:val="28"/>
          <w:sz w:val="20"/>
          <w:szCs w:val="20"/>
        </w:rPr>
      </w:pPr>
    </w:p>
    <w:p w14:paraId="6B7809AF" w14:textId="52F274DB" w:rsidR="003F47A0" w:rsidRPr="0070357C" w:rsidRDefault="0083750D" w:rsidP="0070357C">
      <w:pPr>
        <w:pStyle w:val="Heading1"/>
        <w:rPr>
          <w:rFonts w:eastAsia="Times New Roman" w:cs="Times New Roman"/>
        </w:rPr>
      </w:pPr>
      <w:r w:rsidRPr="0070357C">
        <w:rPr>
          <w:rFonts w:eastAsia="Times New Roman" w:cs="Times New Roman"/>
        </w:rPr>
        <w:t>Honey Bees (</w:t>
      </w:r>
      <w:r w:rsidRPr="0070357C">
        <w:rPr>
          <w:rFonts w:eastAsia="Times New Roman" w:cs="Times New Roman"/>
          <w:i/>
          <w:iCs/>
        </w:rPr>
        <w:t>Apis</w:t>
      </w:r>
      <w:r w:rsidRPr="0070357C">
        <w:rPr>
          <w:rFonts w:eastAsia="Times New Roman" w:cs="Times New Roman"/>
        </w:rPr>
        <w:t xml:space="preserve"> Spp.): Biology, Pollination Services, Colony Health, Threats and Conservation in Indian Agroecosystems- A Narrative Review</w:t>
      </w:r>
    </w:p>
    <w:p w14:paraId="77186EE4" w14:textId="77777777" w:rsidR="003F47A0" w:rsidRPr="0070357C" w:rsidRDefault="003F47A0" w:rsidP="0070357C">
      <w:pPr>
        <w:spacing w:after="0" w:line="240" w:lineRule="auto"/>
        <w:jc w:val="right"/>
        <w:rPr>
          <w:rFonts w:ascii="Times New Roman" w:eastAsia="Times New Roman" w:hAnsi="Times New Roman" w:cs="Times New Roman"/>
          <w:b/>
          <w:bCs/>
          <w:sz w:val="36"/>
          <w:szCs w:val="20"/>
        </w:rPr>
      </w:pPr>
    </w:p>
    <w:p w14:paraId="7F630574" w14:textId="397D401C" w:rsidR="003F47A0" w:rsidRPr="0070357C" w:rsidRDefault="00EB2DA2" w:rsidP="0070357C">
      <w:pPr>
        <w:pStyle w:val="Heading2"/>
        <w:spacing w:before="0"/>
        <w:rPr>
          <w:rFonts w:eastAsia="Times New Roman" w:cs="Times New Roman"/>
        </w:rPr>
      </w:pPr>
      <w:r w:rsidRPr="0070357C">
        <w:rPr>
          <w:rFonts w:eastAsia="Times New Roman" w:cs="Times New Roman"/>
          <w:lang w:val="en"/>
        </w:rPr>
        <w:t xml:space="preserve">Himanshu Jaiswal </w:t>
      </w:r>
      <w:r w:rsidRPr="0070357C">
        <w:rPr>
          <w:rFonts w:eastAsia="Times New Roman" w:cs="Times New Roman"/>
          <w:vertAlign w:val="superscript"/>
          <w:lang w:val="en"/>
        </w:rPr>
        <w:t>a</w:t>
      </w:r>
      <w:r w:rsidR="00EC6CD3" w:rsidRPr="0070357C">
        <w:rPr>
          <w:rFonts w:eastAsia="Times New Roman" w:cs="Times New Roman"/>
          <w:vertAlign w:val="superscript"/>
          <w:lang w:val="en"/>
        </w:rPr>
        <w:t>*</w:t>
      </w:r>
      <w:r w:rsidRPr="0070357C">
        <w:rPr>
          <w:rFonts w:eastAsia="Times New Roman" w:cs="Times New Roman"/>
          <w:lang w:val="en"/>
        </w:rPr>
        <w:t xml:space="preserve"> and </w:t>
      </w:r>
      <w:r w:rsidRPr="00607363">
        <w:rPr>
          <w:rFonts w:eastAsia="Times New Roman" w:cs="Times New Roman"/>
          <w:lang w:val="en"/>
        </w:rPr>
        <w:t>Khushboo</w:t>
      </w:r>
      <w:r w:rsidRPr="0070357C">
        <w:rPr>
          <w:rFonts w:eastAsia="Times New Roman" w:cs="Times New Roman"/>
          <w:lang w:val="en"/>
        </w:rPr>
        <w:t xml:space="preserve"> </w:t>
      </w:r>
      <w:r w:rsidRPr="0070357C">
        <w:rPr>
          <w:rFonts w:eastAsia="Times New Roman" w:cs="Times New Roman"/>
          <w:vertAlign w:val="superscript"/>
          <w:lang w:val="en"/>
        </w:rPr>
        <w:t>a</w:t>
      </w:r>
    </w:p>
    <w:p w14:paraId="14D5313F" w14:textId="77777777" w:rsidR="003F47A0" w:rsidRPr="0070357C" w:rsidRDefault="003F47A0" w:rsidP="0070357C">
      <w:pPr>
        <w:spacing w:after="0" w:line="240" w:lineRule="auto"/>
        <w:jc w:val="right"/>
        <w:rPr>
          <w:rFonts w:ascii="Times New Roman" w:eastAsia="Times New Roman" w:hAnsi="Times New Roman" w:cs="Times New Roman"/>
          <w:b/>
          <w:bCs/>
          <w:sz w:val="24"/>
          <w:szCs w:val="20"/>
        </w:rPr>
      </w:pPr>
    </w:p>
    <w:p w14:paraId="51CF0C56" w14:textId="28C62617" w:rsidR="003F47A0" w:rsidRPr="0070357C" w:rsidRDefault="00EB2DA2" w:rsidP="0070357C">
      <w:pPr>
        <w:spacing w:after="0" w:line="240" w:lineRule="auto"/>
        <w:jc w:val="right"/>
        <w:rPr>
          <w:rFonts w:ascii="Times New Roman" w:eastAsia="Times New Roman" w:hAnsi="Times New Roman" w:cs="Times New Roman"/>
          <w:i/>
          <w:sz w:val="20"/>
          <w:szCs w:val="20"/>
        </w:rPr>
      </w:pPr>
      <w:r w:rsidRPr="0070357C">
        <w:rPr>
          <w:rFonts w:ascii="Times New Roman" w:eastAsia="Times New Roman" w:hAnsi="Times New Roman" w:cs="Times New Roman"/>
          <w:i/>
          <w:sz w:val="20"/>
          <w:szCs w:val="20"/>
          <w:vertAlign w:val="superscript"/>
          <w:lang w:val="en"/>
        </w:rPr>
        <w:t>a</w:t>
      </w:r>
      <w:r w:rsidRPr="0070357C">
        <w:rPr>
          <w:rFonts w:ascii="Times New Roman" w:eastAsia="Times New Roman" w:hAnsi="Times New Roman" w:cs="Times New Roman"/>
          <w:i/>
          <w:sz w:val="20"/>
          <w:szCs w:val="20"/>
          <w:lang w:val="en"/>
        </w:rPr>
        <w:t xml:space="preserve"> Department of Life Sciences, Shaheed Nandkumar Patel Vishwavidyalaya, </w:t>
      </w:r>
      <w:proofErr w:type="spellStart"/>
      <w:r w:rsidRPr="0070357C">
        <w:rPr>
          <w:rFonts w:ascii="Times New Roman" w:eastAsia="Times New Roman" w:hAnsi="Times New Roman" w:cs="Times New Roman"/>
          <w:i/>
          <w:sz w:val="20"/>
          <w:szCs w:val="20"/>
          <w:lang w:val="en"/>
        </w:rPr>
        <w:t>Raigarh</w:t>
      </w:r>
      <w:proofErr w:type="spellEnd"/>
      <w:r w:rsidRPr="0070357C">
        <w:rPr>
          <w:rFonts w:ascii="Times New Roman" w:eastAsia="Times New Roman" w:hAnsi="Times New Roman" w:cs="Times New Roman"/>
          <w:i/>
          <w:sz w:val="20"/>
          <w:szCs w:val="20"/>
          <w:lang w:val="en"/>
        </w:rPr>
        <w:t>, Chhattisgarh, India.</w:t>
      </w:r>
    </w:p>
    <w:p w14:paraId="0F191FE7" w14:textId="77777777" w:rsidR="00D851AD" w:rsidRPr="0070357C" w:rsidRDefault="00D851AD" w:rsidP="0070357C">
      <w:pPr>
        <w:spacing w:after="0" w:line="240" w:lineRule="auto"/>
        <w:jc w:val="right"/>
        <w:rPr>
          <w:rFonts w:ascii="Times New Roman" w:eastAsia="Times New Roman" w:hAnsi="Times New Roman" w:cs="Times New Roman"/>
          <w:i/>
          <w:sz w:val="20"/>
          <w:szCs w:val="20"/>
        </w:rPr>
      </w:pPr>
    </w:p>
    <w:p w14:paraId="51E9A088" w14:textId="5C598C62" w:rsidR="00A324F0" w:rsidRPr="0070357C" w:rsidRDefault="00A324F0" w:rsidP="0070357C">
      <w:pPr>
        <w:spacing w:after="0" w:line="240" w:lineRule="auto"/>
        <w:jc w:val="right"/>
        <w:rPr>
          <w:rFonts w:ascii="Times New Roman" w:eastAsia="Times New Roman" w:hAnsi="Times New Roman" w:cs="Times New Roman"/>
          <w:b/>
          <w:i/>
          <w:color w:val="FF0000"/>
          <w:sz w:val="20"/>
          <w:szCs w:val="20"/>
        </w:rPr>
      </w:pPr>
      <w:r w:rsidRPr="0070357C">
        <w:rPr>
          <w:rFonts w:ascii="Times New Roman" w:eastAsia="Times New Roman" w:hAnsi="Times New Roman" w:cs="Times New Roman"/>
          <w:b/>
          <w:i/>
          <w:sz w:val="20"/>
          <w:szCs w:val="20"/>
        </w:rPr>
        <w:t>Authors’ contributions</w:t>
      </w:r>
    </w:p>
    <w:p w14:paraId="0AC0636B" w14:textId="77777777" w:rsidR="00D851AD" w:rsidRPr="0070357C" w:rsidRDefault="00D851AD" w:rsidP="0070357C">
      <w:pPr>
        <w:spacing w:after="0" w:line="240" w:lineRule="auto"/>
        <w:jc w:val="right"/>
        <w:rPr>
          <w:rFonts w:ascii="Times New Roman" w:eastAsia="Times New Roman" w:hAnsi="Times New Roman" w:cs="Times New Roman"/>
          <w:b/>
          <w:i/>
          <w:sz w:val="20"/>
          <w:szCs w:val="20"/>
        </w:rPr>
      </w:pPr>
    </w:p>
    <w:p w14:paraId="0D35CA6D" w14:textId="2F35AEBC" w:rsidR="00D851AD" w:rsidRPr="0070357C" w:rsidRDefault="00A96AB6" w:rsidP="0070357C">
      <w:pPr>
        <w:spacing w:after="0" w:line="240" w:lineRule="auto"/>
        <w:jc w:val="right"/>
        <w:rPr>
          <w:rFonts w:ascii="Times New Roman" w:hAnsi="Times New Roman" w:cs="Times New Roman"/>
          <w:i/>
          <w:sz w:val="20"/>
        </w:rPr>
      </w:pPr>
      <w:r w:rsidRPr="0070357C">
        <w:rPr>
          <w:rFonts w:ascii="Times New Roman" w:hAnsi="Times New Roman" w:cs="Times New Roman"/>
          <w:i/>
          <w:sz w:val="20"/>
        </w:rPr>
        <w:t xml:space="preserve">This work was carried out in collaboration </w:t>
      </w:r>
      <w:r w:rsidR="00EB2DA2" w:rsidRPr="0070357C">
        <w:rPr>
          <w:rFonts w:ascii="Times New Roman" w:hAnsi="Times New Roman" w:cs="Times New Roman"/>
          <w:i/>
          <w:sz w:val="20"/>
        </w:rPr>
        <w:t xml:space="preserve">between both </w:t>
      </w:r>
      <w:r w:rsidRPr="0070357C">
        <w:rPr>
          <w:rFonts w:ascii="Times New Roman" w:hAnsi="Times New Roman" w:cs="Times New Roman"/>
          <w:i/>
          <w:sz w:val="20"/>
        </w:rPr>
        <w:t xml:space="preserve">authors. </w:t>
      </w:r>
      <w:r w:rsidR="00EC6CD3" w:rsidRPr="0070357C">
        <w:rPr>
          <w:rFonts w:ascii="Times New Roman" w:hAnsi="Times New Roman" w:cs="Times New Roman"/>
          <w:i/>
          <w:sz w:val="20"/>
        </w:rPr>
        <w:t xml:space="preserve">Author HJ carried out the conceptualization, literature synthesis, manuscript preparation, critical revision, and final approval of the submitted version. Author Khushboo performed the literature search, contributed to evidence organization, and critically reviewed the manuscript. Both authors read and approved the final manuscript. </w:t>
      </w:r>
    </w:p>
    <w:p w14:paraId="0F32ACF3" w14:textId="77777777" w:rsidR="00EC6CD3" w:rsidRPr="0070357C" w:rsidRDefault="00EC6CD3" w:rsidP="0070357C">
      <w:pPr>
        <w:spacing w:after="0" w:line="240" w:lineRule="auto"/>
        <w:jc w:val="right"/>
        <w:rPr>
          <w:rFonts w:ascii="Times New Roman" w:eastAsia="Times New Roman" w:hAnsi="Times New Roman" w:cs="Times New Roman"/>
          <w:i/>
          <w:sz w:val="20"/>
          <w:szCs w:val="20"/>
        </w:rPr>
      </w:pPr>
    </w:p>
    <w:p w14:paraId="63A361EE" w14:textId="77777777" w:rsidR="00D851AD" w:rsidRPr="0070357C" w:rsidRDefault="00D851AD" w:rsidP="0070357C">
      <w:pPr>
        <w:spacing w:after="0" w:line="240" w:lineRule="auto"/>
        <w:jc w:val="right"/>
        <w:rPr>
          <w:rFonts w:ascii="Times New Roman" w:eastAsia="Times New Roman" w:hAnsi="Times New Roman" w:cs="Times New Roman"/>
          <w:b/>
          <w:i/>
          <w:sz w:val="20"/>
          <w:szCs w:val="20"/>
        </w:rPr>
      </w:pPr>
      <w:r w:rsidRPr="0070357C">
        <w:rPr>
          <w:rFonts w:ascii="Times New Roman" w:eastAsia="Times New Roman" w:hAnsi="Times New Roman" w:cs="Times New Roman"/>
          <w:b/>
          <w:i/>
          <w:sz w:val="20"/>
          <w:szCs w:val="20"/>
        </w:rPr>
        <w:t>Article Information</w:t>
      </w:r>
    </w:p>
    <w:p w14:paraId="0DF0D95B" w14:textId="77777777" w:rsidR="007D11FD" w:rsidRPr="0070357C" w:rsidRDefault="007D11FD" w:rsidP="0070357C">
      <w:pPr>
        <w:spacing w:after="0" w:line="240" w:lineRule="auto"/>
        <w:jc w:val="right"/>
        <w:rPr>
          <w:rFonts w:ascii="Times New Roman" w:eastAsia="Times New Roman" w:hAnsi="Times New Roman" w:cs="Times New Roman"/>
          <w:b/>
          <w:i/>
          <w:sz w:val="16"/>
          <w:szCs w:val="20"/>
        </w:rPr>
      </w:pPr>
    </w:p>
    <w:p w14:paraId="6BCF2F21" w14:textId="3C87DFC9" w:rsidR="007D11FD" w:rsidRPr="0070357C" w:rsidRDefault="007D11FD" w:rsidP="0070357C">
      <w:pPr>
        <w:spacing w:after="0" w:line="240" w:lineRule="auto"/>
        <w:jc w:val="right"/>
        <w:rPr>
          <w:rFonts w:ascii="Times New Roman" w:eastAsia="Times New Roman" w:hAnsi="Times New Roman" w:cs="Times New Roman"/>
          <w:sz w:val="16"/>
          <w:szCs w:val="16"/>
        </w:rPr>
      </w:pPr>
      <w:r w:rsidRPr="0070357C">
        <w:rPr>
          <w:rFonts w:ascii="Times New Roman" w:eastAsia="Times New Roman" w:hAnsi="Times New Roman" w:cs="Times New Roman"/>
          <w:sz w:val="16"/>
          <w:szCs w:val="16"/>
        </w:rPr>
        <w:t xml:space="preserve">DOI: </w:t>
      </w:r>
      <w:hyperlink r:id="rId8" w:history="1">
        <w:r w:rsidR="00FF45EE" w:rsidRPr="00FF45EE">
          <w:rPr>
            <w:rStyle w:val="Hyperlink"/>
            <w:rFonts w:ascii="Times New Roman" w:eastAsia="Times New Roman" w:hAnsi="Times New Roman" w:cs="Times New Roman"/>
            <w:sz w:val="16"/>
            <w:szCs w:val="16"/>
            <w:u w:val="none"/>
          </w:rPr>
          <w:t>https://doi.org/10.9734/ajriz/2026/v9i4326</w:t>
        </w:r>
      </w:hyperlink>
      <w:r w:rsidR="00FF45EE">
        <w:rPr>
          <w:rFonts w:ascii="Times New Roman" w:eastAsia="Times New Roman" w:hAnsi="Times New Roman" w:cs="Times New Roman"/>
          <w:sz w:val="16"/>
          <w:szCs w:val="16"/>
        </w:rPr>
        <w:t xml:space="preserve"> </w:t>
      </w:r>
    </w:p>
    <w:p w14:paraId="064FF23D" w14:textId="77777777" w:rsidR="00B717BD" w:rsidRPr="0070357C" w:rsidRDefault="00B717BD" w:rsidP="0070357C">
      <w:pPr>
        <w:spacing w:after="0" w:line="240" w:lineRule="auto"/>
        <w:jc w:val="right"/>
        <w:rPr>
          <w:rFonts w:ascii="Times New Roman" w:eastAsia="Times New Roman" w:hAnsi="Times New Roman" w:cs="Times New Roman"/>
          <w:sz w:val="16"/>
          <w:szCs w:val="16"/>
        </w:rPr>
      </w:pPr>
    </w:p>
    <w:p w14:paraId="440CBB58" w14:textId="77777777" w:rsidR="00B717BD" w:rsidRPr="0070357C" w:rsidRDefault="00B717BD" w:rsidP="0070357C">
      <w:pPr>
        <w:spacing w:after="0" w:line="240" w:lineRule="auto"/>
        <w:jc w:val="right"/>
        <w:rPr>
          <w:rFonts w:ascii="Times New Roman" w:eastAsia="Times New Roman" w:hAnsi="Times New Roman" w:cs="Times New Roman"/>
          <w:b/>
          <w:sz w:val="16"/>
          <w:szCs w:val="16"/>
        </w:rPr>
      </w:pPr>
      <w:r w:rsidRPr="0070357C">
        <w:rPr>
          <w:rFonts w:ascii="Times New Roman" w:eastAsia="Times New Roman" w:hAnsi="Times New Roman" w:cs="Times New Roman"/>
          <w:b/>
          <w:sz w:val="16"/>
          <w:szCs w:val="16"/>
        </w:rPr>
        <w:t>Open Peer Review History:</w:t>
      </w:r>
    </w:p>
    <w:p w14:paraId="377BE6C0" w14:textId="69C90D69" w:rsidR="00B717BD" w:rsidRPr="0070357C" w:rsidRDefault="00B717BD" w:rsidP="0070357C">
      <w:pPr>
        <w:spacing w:after="0" w:line="240" w:lineRule="auto"/>
        <w:jc w:val="right"/>
        <w:rPr>
          <w:rFonts w:ascii="Times New Roman" w:eastAsia="Times New Roman" w:hAnsi="Times New Roman" w:cs="Times New Roman"/>
          <w:sz w:val="15"/>
          <w:szCs w:val="15"/>
        </w:rPr>
      </w:pPr>
      <w:r w:rsidRPr="0070357C">
        <w:rPr>
          <w:rFonts w:ascii="Times New Roman" w:eastAsia="Times New Roman" w:hAnsi="Times New Roman" w:cs="Times New Roman"/>
          <w:sz w:val="15"/>
          <w:szCs w:val="15"/>
        </w:rPr>
        <w:t xml:space="preserve">This journal follows the Advanced Open Peer Review policy. Identity of the Reviewers, Editor(s) and additional Reviewers, peer review comments, different versions of the manuscript, comments of the editors, </w:t>
      </w:r>
      <w:proofErr w:type="spellStart"/>
      <w:r w:rsidRPr="0070357C">
        <w:rPr>
          <w:rFonts w:ascii="Times New Roman" w:eastAsia="Times New Roman" w:hAnsi="Times New Roman" w:cs="Times New Roman"/>
          <w:sz w:val="15"/>
          <w:szCs w:val="15"/>
        </w:rPr>
        <w:t>etc</w:t>
      </w:r>
      <w:proofErr w:type="spellEnd"/>
      <w:r w:rsidRPr="0070357C">
        <w:rPr>
          <w:rFonts w:ascii="Times New Roman" w:eastAsia="Times New Roman" w:hAnsi="Times New Roman" w:cs="Times New Roman"/>
          <w:sz w:val="15"/>
          <w:szCs w:val="15"/>
        </w:rPr>
        <w:t xml:space="preserve"> are available here:</w:t>
      </w:r>
      <w:r w:rsidR="00FF45EE" w:rsidRPr="00FF45EE">
        <w:t xml:space="preserve"> </w:t>
      </w:r>
      <w:hyperlink r:id="rId9" w:history="1">
        <w:r w:rsidR="00FF45EE" w:rsidRPr="00FF45EE">
          <w:rPr>
            <w:rStyle w:val="Hyperlink"/>
            <w:rFonts w:ascii="Times New Roman" w:eastAsia="Times New Roman" w:hAnsi="Times New Roman" w:cs="Times New Roman"/>
            <w:sz w:val="15"/>
            <w:szCs w:val="15"/>
            <w:u w:val="none"/>
          </w:rPr>
          <w:t>https://pr.sdiarticle5.com/review-history/166665</w:t>
        </w:r>
      </w:hyperlink>
      <w:r w:rsidR="00FF45EE">
        <w:rPr>
          <w:rFonts w:ascii="Times New Roman" w:eastAsia="Times New Roman" w:hAnsi="Times New Roman" w:cs="Times New Roman"/>
          <w:sz w:val="15"/>
          <w:szCs w:val="15"/>
        </w:rPr>
        <w:t xml:space="preserve"> </w:t>
      </w:r>
    </w:p>
    <w:p w14:paraId="4A030AC0" w14:textId="77777777" w:rsidR="00D851AD" w:rsidRPr="0070357C" w:rsidRDefault="00D851AD" w:rsidP="0070357C">
      <w:pPr>
        <w:keepNext/>
        <w:spacing w:after="0" w:line="240" w:lineRule="auto"/>
        <w:jc w:val="right"/>
        <w:rPr>
          <w:rFonts w:ascii="Times New Roman" w:eastAsia="Times New Roman" w:hAnsi="Times New Roman" w:cs="Times New Roman"/>
          <w:sz w:val="20"/>
          <w:szCs w:val="20"/>
        </w:rPr>
      </w:pPr>
    </w:p>
    <w:p w14:paraId="71C04EC6" w14:textId="77777777" w:rsidR="00BD060A" w:rsidRPr="0070357C" w:rsidRDefault="00BD060A" w:rsidP="0070357C">
      <w:pPr>
        <w:spacing w:after="0" w:line="240" w:lineRule="auto"/>
        <w:jc w:val="right"/>
        <w:rPr>
          <w:rFonts w:ascii="Times New Roman" w:eastAsia="Times New Roman" w:hAnsi="Times New Roman" w:cs="Times New Roman"/>
          <w:bCs/>
          <w:iCs/>
          <w:sz w:val="20"/>
          <w:szCs w:val="20"/>
        </w:rPr>
      </w:pPr>
    </w:p>
    <w:p w14:paraId="49465457" w14:textId="377930F0" w:rsidR="00BD060A" w:rsidRPr="0070357C" w:rsidRDefault="00BD060A" w:rsidP="0070357C">
      <w:pPr>
        <w:autoSpaceDE w:val="0"/>
        <w:autoSpaceDN w:val="0"/>
        <w:adjustRightInd w:val="0"/>
        <w:spacing w:after="0" w:line="240" w:lineRule="auto"/>
        <w:jc w:val="right"/>
        <w:rPr>
          <w:rFonts w:ascii="Times New Roman" w:eastAsia="Times New Roman" w:hAnsi="Times New Roman" w:cs="Times New Roman"/>
          <w:b/>
          <w:i/>
          <w:sz w:val="20"/>
          <w:szCs w:val="16"/>
        </w:rPr>
      </w:pPr>
      <w:r w:rsidRPr="0070357C">
        <w:rPr>
          <w:rFonts w:ascii="Times New Roman" w:eastAsia="Times New Roman" w:hAnsi="Times New Roman" w:cs="Times New Roman"/>
          <w:b/>
          <w:i/>
          <w:sz w:val="20"/>
          <w:szCs w:val="16"/>
        </w:rPr>
        <w:t>Received</w:t>
      </w:r>
      <w:r w:rsidR="00345B25" w:rsidRPr="0070357C">
        <w:rPr>
          <w:rFonts w:ascii="Times New Roman" w:eastAsia="Times New Roman" w:hAnsi="Times New Roman" w:cs="Times New Roman"/>
          <w:b/>
          <w:i/>
          <w:sz w:val="20"/>
          <w:szCs w:val="16"/>
        </w:rPr>
        <w:t>:</w:t>
      </w:r>
      <w:r w:rsidRPr="0070357C">
        <w:rPr>
          <w:rFonts w:ascii="Times New Roman" w:eastAsia="Times New Roman" w:hAnsi="Times New Roman" w:cs="Times New Roman"/>
          <w:b/>
          <w:i/>
          <w:sz w:val="20"/>
          <w:szCs w:val="16"/>
        </w:rPr>
        <w:t xml:space="preserve"> </w:t>
      </w:r>
      <w:r w:rsidR="007879C6" w:rsidRPr="007879C6">
        <w:rPr>
          <w:rFonts w:ascii="Times New Roman" w:eastAsia="Times New Roman" w:hAnsi="Times New Roman" w:cs="Times New Roman"/>
          <w:b/>
          <w:i/>
          <w:sz w:val="20"/>
          <w:szCs w:val="16"/>
        </w:rPr>
        <w:t>03/07/2026</w:t>
      </w:r>
    </w:p>
    <w:p w14:paraId="0F9F34B9" w14:textId="6F3B2417" w:rsidR="009C4A76" w:rsidRPr="0070357C" w:rsidRDefault="00000000" w:rsidP="0070357C">
      <w:pPr>
        <w:autoSpaceDE w:val="0"/>
        <w:autoSpaceDN w:val="0"/>
        <w:adjustRightInd w:val="0"/>
        <w:spacing w:after="0" w:line="240" w:lineRule="auto"/>
        <w:jc w:val="right"/>
        <w:rPr>
          <w:rFonts w:ascii="Times New Roman" w:eastAsia="Times New Roman" w:hAnsi="Times New Roman" w:cs="Times New Roman"/>
          <w:b/>
          <w:i/>
          <w:sz w:val="20"/>
          <w:szCs w:val="16"/>
        </w:rPr>
      </w:pPr>
      <w:r>
        <w:rPr>
          <w:noProof/>
        </w:rPr>
        <w:pict w14:anchorId="1DDE5189">
          <v:rect id="Rectangle 29" o:spid="_x0000_s2084" style="position:absolute;left:0;text-align:left;margin-left:.9pt;margin-top:4.45pt;width:78.95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">
            <v:textbox style="mso-next-textbox:#Rectangle 29" inset=",2.16pt,,2.16pt">
              <w:txbxContent>
                <w:p w14:paraId="280F0B9B" w14:textId="1DB9EF8D" w:rsidR="00682F1A" w:rsidRPr="007B65D1" w:rsidRDefault="00EB2DA2" w:rsidP="00682F1A">
                  <w:pPr>
                    <w:jc w:val="center"/>
                    <w:rPr>
                      <w:rFonts w:ascii="Times New Roman" w:hAnsi="Times New Roman" w:cs="Times New Roman"/>
                      <w:b/>
                      <w:i/>
                      <w:sz w:val="20"/>
                    </w:rPr>
                  </w:pPr>
                  <w:r w:rsidRPr="00EB2DA2">
                    <w:rPr>
                      <w:rFonts w:ascii="Times New Roman" w:hAnsi="Times New Roman" w:cs="Times New Roman"/>
                      <w:b/>
                      <w:i/>
                      <w:sz w:val="20"/>
                    </w:rPr>
                    <w:t>Review Article</w:t>
                  </w:r>
                </w:p>
              </w:txbxContent>
            </v:textbox>
          </v:rect>
        </w:pict>
      </w:r>
      <w:r w:rsidR="009C4A76" w:rsidRPr="0070357C">
        <w:rPr>
          <w:rFonts w:ascii="Times New Roman" w:eastAsia="Times New Roman" w:hAnsi="Times New Roman" w:cs="Times New Roman"/>
          <w:b/>
          <w:i/>
          <w:sz w:val="20"/>
          <w:szCs w:val="16"/>
        </w:rPr>
        <w:t xml:space="preserve">Accepted: </w:t>
      </w:r>
      <w:r w:rsidR="007879C6" w:rsidRPr="007879C6">
        <w:rPr>
          <w:rFonts w:ascii="Times New Roman" w:eastAsia="Times New Roman" w:hAnsi="Times New Roman" w:cs="Times New Roman"/>
          <w:b/>
          <w:i/>
          <w:sz w:val="20"/>
          <w:szCs w:val="16"/>
        </w:rPr>
        <w:t>26/09/2026</w:t>
      </w:r>
    </w:p>
    <w:p w14:paraId="2A1E5F0E" w14:textId="0C792D03" w:rsidR="00BD060A" w:rsidRPr="0070357C" w:rsidRDefault="00BD060A" w:rsidP="0070357C">
      <w:pPr>
        <w:autoSpaceDE w:val="0"/>
        <w:autoSpaceDN w:val="0"/>
        <w:adjustRightInd w:val="0"/>
        <w:spacing w:after="0" w:line="240" w:lineRule="auto"/>
        <w:jc w:val="right"/>
        <w:rPr>
          <w:rFonts w:ascii="Times New Roman" w:eastAsia="Times New Roman" w:hAnsi="Times New Roman" w:cs="Times New Roman"/>
          <w:sz w:val="20"/>
          <w:szCs w:val="20"/>
        </w:rPr>
      </w:pPr>
      <w:r w:rsidRPr="0070357C">
        <w:rPr>
          <w:rFonts w:ascii="Times New Roman" w:eastAsia="Times New Roman" w:hAnsi="Times New Roman" w:cs="Times New Roman"/>
          <w:b/>
          <w:i/>
          <w:sz w:val="20"/>
          <w:szCs w:val="16"/>
        </w:rPr>
        <w:t>Published</w:t>
      </w:r>
      <w:r w:rsidR="00345B25" w:rsidRPr="0070357C">
        <w:rPr>
          <w:rFonts w:ascii="Times New Roman" w:eastAsia="Times New Roman" w:hAnsi="Times New Roman" w:cs="Times New Roman"/>
          <w:b/>
          <w:i/>
          <w:sz w:val="20"/>
          <w:szCs w:val="16"/>
        </w:rPr>
        <w:t>:</w:t>
      </w:r>
      <w:r w:rsidRPr="0070357C">
        <w:rPr>
          <w:rFonts w:ascii="Times New Roman" w:eastAsia="Times New Roman" w:hAnsi="Times New Roman" w:cs="Times New Roman"/>
          <w:b/>
          <w:i/>
          <w:sz w:val="20"/>
          <w:szCs w:val="16"/>
        </w:rPr>
        <w:t xml:space="preserve"> </w:t>
      </w:r>
      <w:r w:rsidR="007879C6" w:rsidRPr="007879C6">
        <w:rPr>
          <w:rFonts w:ascii="Times New Roman" w:eastAsia="Times New Roman" w:hAnsi="Times New Roman" w:cs="Times New Roman"/>
          <w:b/>
          <w:i/>
          <w:sz w:val="20"/>
          <w:szCs w:val="16"/>
        </w:rPr>
        <w:t>22/10/2026</w:t>
      </w:r>
    </w:p>
    <w:p w14:paraId="6A316091" w14:textId="3AADF3F1" w:rsidR="00BD060A" w:rsidRPr="0070357C" w:rsidRDefault="00000000" w:rsidP="0070357C">
      <w:pPr>
        <w:keepNext/>
        <w:spacing w:after="0" w:line="240" w:lineRule="auto"/>
        <w:rPr>
          <w:rFonts w:ascii="Times New Roman" w:eastAsia="Times New Roman" w:hAnsi="Times New Roman" w:cs="Times New Roman"/>
          <w:b/>
          <w:caps/>
          <w:sz w:val="24"/>
          <w:szCs w:val="20"/>
        </w:rPr>
      </w:pPr>
      <w:r>
        <w:pict w14:anchorId="45546888">
          <v:shapetype id="_x0000_t32" coordsize="21600,21600" o:spt="32" o:oned="t" path="m,l21600,21600e" filled="f">
            <v:path arrowok="t" fillok="f" o:connecttype="none"/>
            <o:lock v:ext="edit" shapetype="t"/>
          </v:shapetype>
          <v:shape id="AutoShape 31" o:spid="_x0000_s2086" type="#_x0000_t32" style="width:450.7pt;height:.05pt;visibility:visible;mso-wrap-style:square;mso-left-percent:-10001;mso-top-percent:-10001;mso-position-horizontal:absolute;mso-position-horizontal-relative:char;mso-position-vertical:absolute;mso-position-vertical-relative:line;mso-left-percent:-10001;mso-top-percent:-10001" strokeweight="1.5pt">
            <w10:anchorlock/>
          </v:shape>
        </w:pict>
      </w:r>
    </w:p>
    <w:p w14:paraId="03529BA2" w14:textId="77777777" w:rsidR="00BD060A" w:rsidRPr="0070357C" w:rsidRDefault="00BD060A" w:rsidP="0070357C">
      <w:pPr>
        <w:keepNext/>
        <w:tabs>
          <w:tab w:val="left" w:pos="3870"/>
        </w:tabs>
        <w:spacing w:after="0" w:line="240" w:lineRule="auto"/>
        <w:rPr>
          <w:rFonts w:ascii="Times New Roman" w:eastAsia="Times New Roman" w:hAnsi="Times New Roman" w:cs="Times New Roman"/>
          <w:b/>
          <w:caps/>
          <w:sz w:val="17"/>
          <w:szCs w:val="17"/>
        </w:rPr>
      </w:pPr>
    </w:p>
    <w:p w14:paraId="13293A1F" w14:textId="303B9AD8" w:rsidR="00BD060A" w:rsidRPr="0070357C" w:rsidRDefault="009208EC" w:rsidP="0070357C">
      <w:pPr>
        <w:pStyle w:val="Heading3"/>
        <w:rPr>
          <w:rFonts w:eastAsia="Times New Roman" w:cs="Times New Roman"/>
          <w:sz w:val="17"/>
          <w:szCs w:val="17"/>
        </w:rPr>
      </w:pPr>
      <w:r w:rsidRPr="0070357C">
        <w:rPr>
          <w:rFonts w:eastAsia="Times New Roman" w:cs="Times New Roman"/>
          <w:sz w:val="17"/>
          <w:szCs w:val="17"/>
        </w:rPr>
        <w:t>Abstract</w:t>
      </w:r>
    </w:p>
    <w:p w14:paraId="2FA76772" w14:textId="77777777" w:rsidR="00BD060A" w:rsidRPr="0070357C" w:rsidRDefault="00BD060A" w:rsidP="0070357C">
      <w:pPr>
        <w:keepNext/>
        <w:spacing w:after="0" w:line="240" w:lineRule="auto"/>
        <w:jc w:val="both"/>
        <w:rPr>
          <w:rFonts w:ascii="Times New Roman" w:eastAsia="Times New Roman" w:hAnsi="Times New Roman" w:cs="Times New Roman"/>
          <w:b/>
          <w:caps/>
          <w:sz w:val="17"/>
          <w:szCs w:val="17"/>
        </w:rPr>
      </w:pPr>
    </w:p>
    <w:tbl>
      <w:tblPr>
        <w:tblStyle w:val="TableGrid"/>
        <w:tblW w:w="4900" w:type="pct"/>
        <w:jc w:val="center"/>
        <w:tblLayout w:type="fixed"/>
        <w:tblLook w:val="04A0" w:firstRow="1" w:lastRow="0" w:firstColumn="1" w:lastColumn="0" w:noHBand="0" w:noVBand="1"/>
      </w:tblPr>
      <w:tblGrid>
        <w:gridCol w:w="9060"/>
      </w:tblGrid>
      <w:tr w:rsidR="00BD060A" w:rsidRPr="0070357C" w14:paraId="119A631D" w14:textId="77777777" w:rsidTr="0083750D">
        <w:trPr>
          <w:trHeight w:val="20"/>
          <w:jc w:val="center"/>
        </w:trPr>
        <w:tc>
          <w:tcPr>
            <w:tcW w:w="9018" w:type="dxa"/>
          </w:tcPr>
          <w:p w14:paraId="304A6EA4" w14:textId="77777777" w:rsidR="003F47A0" w:rsidRPr="0070357C" w:rsidRDefault="0083750D" w:rsidP="0070357C">
            <w:pPr>
              <w:pStyle w:val="BodyText"/>
              <w:jc w:val="both"/>
              <w:rPr>
                <w:sz w:val="17"/>
                <w:szCs w:val="17"/>
              </w:rPr>
            </w:pPr>
            <w:r w:rsidRPr="0070357C">
              <w:rPr>
                <w:sz w:val="17"/>
                <w:szCs w:val="17"/>
              </w:rPr>
              <w:t>Honey bees (</w:t>
            </w:r>
            <w:r w:rsidRPr="0070357C">
              <w:rPr>
                <w:rStyle w:val="Emphasis"/>
                <w:sz w:val="17"/>
                <w:szCs w:val="17"/>
              </w:rPr>
              <w:t>Apis</w:t>
            </w:r>
            <w:r w:rsidRPr="0070357C">
              <w:rPr>
                <w:sz w:val="17"/>
                <w:szCs w:val="17"/>
              </w:rPr>
              <w:t xml:space="preserve"> spp.) are important social insects whose ecological and agricultural significance arises primarily from pollination, honey production and their contribution to ecosystem functioning. This narrative review </w:t>
            </w:r>
            <w:proofErr w:type="spellStart"/>
            <w:r w:rsidRPr="0070357C">
              <w:rPr>
                <w:sz w:val="17"/>
                <w:szCs w:val="17"/>
              </w:rPr>
              <w:t>synthesises</w:t>
            </w:r>
            <w:proofErr w:type="spellEnd"/>
            <w:r w:rsidRPr="0070357C">
              <w:rPr>
                <w:sz w:val="17"/>
                <w:szCs w:val="17"/>
              </w:rPr>
              <w:t xml:space="preserve"> current knowledge on honey bee biology, colony </w:t>
            </w:r>
            <w:proofErr w:type="spellStart"/>
            <w:r w:rsidRPr="0070357C">
              <w:rPr>
                <w:sz w:val="17"/>
                <w:szCs w:val="17"/>
              </w:rPr>
              <w:t>organisation</w:t>
            </w:r>
            <w:proofErr w:type="spellEnd"/>
            <w:r w:rsidRPr="0070357C">
              <w:rPr>
                <w:sz w:val="17"/>
                <w:szCs w:val="17"/>
              </w:rPr>
              <w:t xml:space="preserve">, foraging </w:t>
            </w:r>
            <w:proofErr w:type="spellStart"/>
            <w:r w:rsidRPr="0070357C">
              <w:rPr>
                <w:sz w:val="17"/>
                <w:szCs w:val="17"/>
              </w:rPr>
              <w:t>behaviour</w:t>
            </w:r>
            <w:proofErr w:type="spellEnd"/>
            <w:r w:rsidRPr="0070357C">
              <w:rPr>
                <w:sz w:val="17"/>
                <w:szCs w:val="17"/>
              </w:rPr>
              <w:t xml:space="preserve">, pollination services, nutrition, colony health and conservation, with particular emphasis on Indian agroecosystems. The literature indicates that colony performance is determined by interacting biological, environmental and management factors rather than by individual stressors acting independently. Adequate and diverse floral resources support nutrition and colony development, whereas pathogens, parasites, pesticides, climatic variability and habitat modification can influence survival, </w:t>
            </w:r>
            <w:proofErr w:type="spellStart"/>
            <w:r w:rsidRPr="0070357C">
              <w:rPr>
                <w:sz w:val="17"/>
                <w:szCs w:val="17"/>
              </w:rPr>
              <w:t>behaviour</w:t>
            </w:r>
            <w:proofErr w:type="spellEnd"/>
            <w:r w:rsidRPr="0070357C">
              <w:rPr>
                <w:sz w:val="17"/>
                <w:szCs w:val="17"/>
              </w:rPr>
              <w:t xml:space="preserve">, immunity, foraging and reproductive performance. Indian studies demonstrate the importance of managed and wild </w:t>
            </w:r>
            <w:r w:rsidRPr="0070357C">
              <w:rPr>
                <w:rStyle w:val="Emphasis"/>
                <w:sz w:val="17"/>
                <w:szCs w:val="17"/>
              </w:rPr>
              <w:t>Apis</w:t>
            </w:r>
            <w:r w:rsidRPr="0070357C">
              <w:rPr>
                <w:sz w:val="17"/>
                <w:szCs w:val="17"/>
              </w:rPr>
              <w:t xml:space="preserve"> species in agricultural pollination while also highlighting species-specific differences in ecology and management. Recent evidence increasingly </w:t>
            </w:r>
            <w:proofErr w:type="spellStart"/>
            <w:r w:rsidRPr="0070357C">
              <w:rPr>
                <w:sz w:val="17"/>
                <w:szCs w:val="17"/>
              </w:rPr>
              <w:t>emphasises</w:t>
            </w:r>
            <w:proofErr w:type="spellEnd"/>
            <w:r w:rsidRPr="0070357C">
              <w:rPr>
                <w:sz w:val="17"/>
                <w:szCs w:val="17"/>
              </w:rPr>
              <w:t xml:space="preserve"> chronic and sublethal pesticide effects, microbiome-mediated health, multi-stressor interactions and landscape-level approaches to pollinator conservation. Sustainable apiculture therefore </w:t>
            </w:r>
            <w:r w:rsidRPr="00180820">
              <w:rPr>
                <w:sz w:val="17"/>
                <w:szCs w:val="17"/>
              </w:rPr>
              <w:t>requires integrated pest</w:t>
            </w:r>
            <w:r w:rsidRPr="0070357C">
              <w:rPr>
                <w:sz w:val="17"/>
                <w:szCs w:val="17"/>
              </w:rPr>
              <w:t xml:space="preserve"> management, disease and parasite surveillance, </w:t>
            </w:r>
            <w:r w:rsidRPr="00BD4554">
              <w:rPr>
                <w:sz w:val="17"/>
                <w:szCs w:val="17"/>
              </w:rPr>
              <w:t>protection</w:t>
            </w:r>
            <w:r w:rsidRPr="0070357C">
              <w:rPr>
                <w:sz w:val="17"/>
                <w:szCs w:val="17"/>
              </w:rPr>
              <w:t xml:space="preserve"> </w:t>
            </w:r>
            <w:r w:rsidRPr="0070357C">
              <w:rPr>
                <w:sz w:val="17"/>
                <w:szCs w:val="17"/>
              </w:rPr>
              <w:lastRenderedPageBreak/>
              <w:t xml:space="preserve">of diverse floral resources, responsible colony movement and conservation of natural and semi-natural habitats. Future Indian research should </w:t>
            </w:r>
            <w:proofErr w:type="spellStart"/>
            <w:r w:rsidRPr="0070357C">
              <w:rPr>
                <w:sz w:val="17"/>
                <w:szCs w:val="17"/>
              </w:rPr>
              <w:t>prioritise</w:t>
            </w:r>
            <w:proofErr w:type="spellEnd"/>
            <w:r w:rsidRPr="0070357C">
              <w:rPr>
                <w:sz w:val="17"/>
                <w:szCs w:val="17"/>
              </w:rPr>
              <w:t xml:space="preserve"> </w:t>
            </w:r>
            <w:proofErr w:type="spellStart"/>
            <w:r w:rsidRPr="0070357C">
              <w:rPr>
                <w:sz w:val="17"/>
                <w:szCs w:val="17"/>
              </w:rPr>
              <w:t>standardised</w:t>
            </w:r>
            <w:proofErr w:type="spellEnd"/>
            <w:r w:rsidRPr="0070357C">
              <w:rPr>
                <w:sz w:val="17"/>
                <w:szCs w:val="17"/>
              </w:rPr>
              <w:t xml:space="preserve"> colony-health indicators, species-specific investigations and long-term monitoring that integrates pollination ecology, environmental stressors and landscape management.</w:t>
            </w:r>
          </w:p>
          <w:p w14:paraId="20BD19FB" w14:textId="5587C4FF" w:rsidR="00EC6CD3" w:rsidRPr="0070357C" w:rsidRDefault="00EC6CD3" w:rsidP="0070357C">
            <w:pPr>
              <w:pStyle w:val="BodyText"/>
              <w:jc w:val="both"/>
              <w:rPr>
                <w:rFonts w:eastAsia="Calibri"/>
                <w:sz w:val="17"/>
                <w:szCs w:val="17"/>
              </w:rPr>
            </w:pPr>
          </w:p>
        </w:tc>
      </w:tr>
    </w:tbl>
    <w:p w14:paraId="6AD91A76" w14:textId="77777777" w:rsidR="00D851AD" w:rsidRPr="0070357C" w:rsidRDefault="00D851AD" w:rsidP="0070357C">
      <w:pPr>
        <w:spacing w:after="0" w:line="240" w:lineRule="auto"/>
        <w:ind w:hanging="1080"/>
        <w:jc w:val="both"/>
        <w:rPr>
          <w:rFonts w:ascii="Times New Roman" w:eastAsia="Times New Roman" w:hAnsi="Times New Roman" w:cs="Times New Roman"/>
          <w:i/>
          <w:sz w:val="17"/>
          <w:szCs w:val="17"/>
        </w:rPr>
      </w:pPr>
    </w:p>
    <w:p w14:paraId="25D91349" w14:textId="477C3CE1" w:rsidR="00BD060A" w:rsidRPr="0070357C" w:rsidRDefault="00BD060A" w:rsidP="0070357C">
      <w:pPr>
        <w:spacing w:after="0" w:line="240" w:lineRule="auto"/>
        <w:ind w:left="810" w:hanging="810"/>
        <w:jc w:val="both"/>
        <w:rPr>
          <w:rFonts w:ascii="Times New Roman" w:eastAsia="Times New Roman" w:hAnsi="Times New Roman" w:cs="Times New Roman"/>
          <w:bCs/>
          <w:i/>
          <w:iCs/>
          <w:sz w:val="17"/>
          <w:szCs w:val="17"/>
        </w:rPr>
      </w:pPr>
      <w:r w:rsidRPr="0070357C">
        <w:rPr>
          <w:rFonts w:ascii="Times New Roman" w:eastAsia="Times New Roman" w:hAnsi="Times New Roman" w:cs="Times New Roman"/>
          <w:i/>
          <w:sz w:val="17"/>
          <w:szCs w:val="17"/>
        </w:rPr>
        <w:t>Keywords:</w:t>
      </w:r>
      <w:r w:rsidR="00EC6CD3" w:rsidRPr="0070357C">
        <w:rPr>
          <w:rFonts w:ascii="Times New Roman" w:eastAsia="Times New Roman" w:hAnsi="Times New Roman" w:cs="Times New Roman"/>
          <w:i/>
          <w:sz w:val="17"/>
          <w:szCs w:val="17"/>
        </w:rPr>
        <w:tab/>
      </w:r>
      <w:r w:rsidR="0083750D" w:rsidRPr="0070357C">
        <w:rPr>
          <w:rFonts w:ascii="Times New Roman" w:eastAsia="Times New Roman" w:hAnsi="Times New Roman" w:cs="Times New Roman"/>
          <w:bCs/>
          <w:i/>
          <w:iCs/>
          <w:sz w:val="17"/>
          <w:szCs w:val="17"/>
        </w:rPr>
        <w:t>Honey bees; Apis spp.; pollination services; apiculture; colony health; floral resources; pesticides; pathogens and parasites; climate change; pollinator conservation; Indian agroecosystems</w:t>
      </w:r>
      <w:r w:rsidR="00EC6CD3" w:rsidRPr="0070357C">
        <w:rPr>
          <w:rFonts w:ascii="Times New Roman" w:eastAsia="Times New Roman" w:hAnsi="Times New Roman" w:cs="Times New Roman"/>
          <w:bCs/>
          <w:i/>
          <w:iCs/>
          <w:sz w:val="17"/>
          <w:szCs w:val="17"/>
        </w:rPr>
        <w:t>.</w:t>
      </w:r>
    </w:p>
    <w:p w14:paraId="50482D92" w14:textId="77777777" w:rsidR="0083750D" w:rsidRPr="0070357C" w:rsidRDefault="0083750D" w:rsidP="0070357C">
      <w:pPr>
        <w:spacing w:after="0" w:line="240" w:lineRule="auto"/>
        <w:ind w:hanging="1080"/>
        <w:jc w:val="both"/>
        <w:rPr>
          <w:rFonts w:ascii="Times New Roman" w:eastAsia="Times New Roman" w:hAnsi="Times New Roman" w:cs="Times New Roman"/>
          <w:bCs/>
          <w:i/>
          <w:iCs/>
          <w:sz w:val="17"/>
          <w:szCs w:val="17"/>
        </w:rPr>
      </w:pPr>
    </w:p>
    <w:p w14:paraId="7A2AAB84" w14:textId="392FE803" w:rsidR="0083750D" w:rsidRPr="0070357C" w:rsidRDefault="00EC6CD3" w:rsidP="0070357C">
      <w:pPr>
        <w:pStyle w:val="Heading3"/>
        <w:rPr>
          <w:rFonts w:eastAsia="Arial MT" w:cs="Times New Roman"/>
        </w:rPr>
      </w:pPr>
      <w:r w:rsidRPr="0070357C">
        <w:rPr>
          <w:rFonts w:eastAsia="Arial MT" w:cs="Times New Roman"/>
        </w:rPr>
        <w:t xml:space="preserve">1. </w:t>
      </w:r>
      <w:r w:rsidR="0083750D" w:rsidRPr="0070357C">
        <w:rPr>
          <w:rFonts w:eastAsia="Arial MT" w:cs="Times New Roman"/>
        </w:rPr>
        <w:t xml:space="preserve">Introduction </w:t>
      </w:r>
    </w:p>
    <w:p w14:paraId="033F535D" w14:textId="77777777" w:rsidR="00EC6CD3" w:rsidRPr="0070357C" w:rsidRDefault="00EC6CD3" w:rsidP="0070357C">
      <w:pPr>
        <w:widowControl w:val="0"/>
        <w:tabs>
          <w:tab w:val="left" w:pos="526"/>
        </w:tabs>
        <w:autoSpaceDE w:val="0"/>
        <w:autoSpaceDN w:val="0"/>
        <w:spacing w:after="0" w:line="240" w:lineRule="auto"/>
        <w:jc w:val="both"/>
        <w:outlineLvl w:val="0"/>
        <w:rPr>
          <w:rFonts w:ascii="Times New Roman" w:eastAsia="Arial MT" w:hAnsi="Times New Roman" w:cs="Times New Roman"/>
          <w:sz w:val="17"/>
          <w:szCs w:val="17"/>
        </w:rPr>
      </w:pPr>
    </w:p>
    <w:p w14:paraId="5202F07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Honey bees are among the best-known social insects and are ecologically important because colony-level </w:t>
      </w:r>
      <w:proofErr w:type="spellStart"/>
      <w:r w:rsidRPr="0070357C">
        <w:rPr>
          <w:rFonts w:ascii="Times New Roman" w:eastAsia="Times New Roman" w:hAnsi="Times New Roman" w:cs="Times New Roman"/>
          <w:sz w:val="17"/>
          <w:szCs w:val="17"/>
        </w:rPr>
        <w:t>organisation</w:t>
      </w:r>
      <w:proofErr w:type="spellEnd"/>
      <w:r w:rsidRPr="0070357C">
        <w:rPr>
          <w:rFonts w:ascii="Times New Roman" w:eastAsia="Times New Roman" w:hAnsi="Times New Roman" w:cs="Times New Roman"/>
          <w:sz w:val="17"/>
          <w:szCs w:val="17"/>
        </w:rPr>
        <w:t xml:space="preserve"> allows thousands of individuals to coordinate foraging, brood care, nest </w:t>
      </w:r>
      <w:proofErr w:type="spellStart"/>
      <w:r w:rsidRPr="0070357C">
        <w:rPr>
          <w:rFonts w:ascii="Times New Roman" w:eastAsia="Times New Roman" w:hAnsi="Times New Roman" w:cs="Times New Roman"/>
          <w:sz w:val="17"/>
          <w:szCs w:val="17"/>
        </w:rPr>
        <w:t>defence</w:t>
      </w:r>
      <w:proofErr w:type="spellEnd"/>
      <w:r w:rsidRPr="0070357C">
        <w:rPr>
          <w:rFonts w:ascii="Times New Roman" w:eastAsia="Times New Roman" w:hAnsi="Times New Roman" w:cs="Times New Roman"/>
          <w:sz w:val="17"/>
          <w:szCs w:val="17"/>
        </w:rPr>
        <w:t xml:space="preserve">, thermoregulation and resource storage. Their importance to humans extends beyond honey and beeswax. Bees transfer pollen among flowers and thereby contribute to the reproduction of wild plants and the productivity and quality of many crops. The role of pollinators in agriculture is especially important where crop reproduction depends strongly on animal visitation (Klein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2007; Potts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2010).</w:t>
      </w:r>
    </w:p>
    <w:p w14:paraId="46BEEE49"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5CF2B3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term “honey bee” commonly refers to species of the genus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In India, both managed and </w:t>
      </w:r>
      <w:r w:rsidRPr="0070357C">
        <w:rPr>
          <w:rFonts w:ascii="Times New Roman" w:eastAsia="Times New Roman" w:hAnsi="Times New Roman" w:cs="Times New Roman"/>
          <w:sz w:val="17"/>
          <w:szCs w:val="17"/>
        </w:rPr>
        <w:t xml:space="preserve">wild honey bees occur, including the Asian honey bee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cerana, the European honey bee A. mellifera, the giant honey bee A. dorsata and the dwarf honey bee A. florea. Indian apiculture is strongly associated</w:t>
      </w:r>
      <w:r w:rsidRPr="0070357C">
        <w:rPr>
          <w:rFonts w:ascii="Times New Roman" w:eastAsia="Times New Roman" w:hAnsi="Times New Roman" w:cs="Times New Roman"/>
          <w:sz w:val="17"/>
          <w:szCs w:val="17"/>
        </w:rPr>
        <w:t xml:space="preserve"> with </w:t>
      </w:r>
      <w:r w:rsidRPr="0070357C">
        <w:rPr>
          <w:rFonts w:ascii="Times New Roman" w:eastAsia="Times New Roman" w:hAnsi="Times New Roman" w:cs="Times New Roman"/>
          <w:i/>
          <w:sz w:val="17"/>
          <w:szCs w:val="17"/>
        </w:rPr>
        <w:t>A. cerana and A. mellifera, whereas A. dorsata and A. florea are important wild or semi-managed resources in many landscapes (</w:t>
      </w:r>
      <w:r w:rsidRPr="0070357C">
        <w:rPr>
          <w:rFonts w:ascii="Times New Roman" w:eastAsia="Times New Roman" w:hAnsi="Times New Roman" w:cs="Times New Roman"/>
          <w:sz w:val="17"/>
          <w:szCs w:val="17"/>
        </w:rPr>
        <w:t xml:space="preserve">Ghosh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2025). The biology and management requirements of these species are not identical, so conservation and production recommendations should avoid treating all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species as interchangeable.</w:t>
      </w:r>
    </w:p>
    <w:p w14:paraId="31E8C050" w14:textId="0F4B503C"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bCs/>
          <w:sz w:val="17"/>
          <w:szCs w:val="17"/>
        </w:rPr>
      </w:pPr>
      <w:r w:rsidRPr="0070357C">
        <w:rPr>
          <w:rFonts w:ascii="Times New Roman" w:eastAsia="Times New Roman" w:hAnsi="Times New Roman" w:cs="Times New Roman"/>
          <w:sz w:val="17"/>
          <w:szCs w:val="17"/>
        </w:rPr>
        <w:t xml:space="preserve">The contemporary challenge is not simply whether bees are present. Colony health depends on a network of interacting pressures. Pesticides can influence survival and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parasites and pathogens can reduce individual and colony fitness; poor floral diversity can limit protein and micronutrient intake; and climatic variability can change flowering phenology, foraging windows and water requirements. These</w:t>
      </w:r>
      <w:r w:rsidR="00EC6CD3"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sz w:val="17"/>
          <w:szCs w:val="17"/>
        </w:rPr>
        <w:t xml:space="preserve">pressures can interact rather than act independently (Bava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2026b; Hsieh &amp; Dolezal, 2024; Foster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2024). </w:t>
      </w:r>
      <w:r w:rsidRPr="0070357C">
        <w:rPr>
          <w:rFonts w:ascii="Times New Roman" w:eastAsia="Times New Roman" w:hAnsi="Times New Roman" w:cs="Times New Roman"/>
          <w:bCs/>
          <w:sz w:val="17"/>
          <w:szCs w:val="17"/>
        </w:rPr>
        <w:t xml:space="preserve">Recent Indian evidence reinforces the importance of integrating managed and wild honey bees in agroecosystem research, linking pollination, beekeeping, livelihood value, and species-specific conservation across </w:t>
      </w:r>
      <w:r w:rsidRPr="0070357C">
        <w:rPr>
          <w:rFonts w:ascii="Times New Roman" w:eastAsia="Times New Roman" w:hAnsi="Times New Roman" w:cs="Times New Roman"/>
          <w:bCs/>
          <w:i/>
          <w:iCs/>
          <w:sz w:val="17"/>
          <w:szCs w:val="17"/>
        </w:rPr>
        <w:t>Apis</w:t>
      </w:r>
      <w:r w:rsidRPr="0070357C">
        <w:rPr>
          <w:rFonts w:ascii="Times New Roman" w:eastAsia="Times New Roman" w:hAnsi="Times New Roman" w:cs="Times New Roman"/>
          <w:bCs/>
          <w:sz w:val="17"/>
          <w:szCs w:val="17"/>
        </w:rPr>
        <w:t xml:space="preserve"> systems (Rani </w:t>
      </w:r>
      <w:r w:rsidRPr="0070357C">
        <w:rPr>
          <w:rFonts w:ascii="Times New Roman" w:eastAsia="Times New Roman" w:hAnsi="Times New Roman" w:cs="Times New Roman"/>
          <w:bCs/>
          <w:i/>
          <w:iCs/>
          <w:sz w:val="17"/>
          <w:szCs w:val="17"/>
        </w:rPr>
        <w:t>et al.</w:t>
      </w:r>
      <w:r w:rsidRPr="0070357C">
        <w:rPr>
          <w:rFonts w:ascii="Times New Roman" w:eastAsia="Times New Roman" w:hAnsi="Times New Roman" w:cs="Times New Roman"/>
          <w:bCs/>
          <w:sz w:val="17"/>
          <w:szCs w:val="17"/>
        </w:rPr>
        <w:t xml:space="preserve">, 2026; </w:t>
      </w:r>
      <w:proofErr w:type="spellStart"/>
      <w:r w:rsidRPr="0070357C">
        <w:rPr>
          <w:rFonts w:ascii="Times New Roman" w:eastAsia="Times New Roman" w:hAnsi="Times New Roman" w:cs="Times New Roman"/>
          <w:bCs/>
          <w:sz w:val="17"/>
          <w:szCs w:val="17"/>
        </w:rPr>
        <w:t>Ashaq</w:t>
      </w:r>
      <w:proofErr w:type="spellEnd"/>
      <w:r w:rsidRPr="0070357C">
        <w:rPr>
          <w:rFonts w:ascii="Times New Roman" w:eastAsia="Times New Roman" w:hAnsi="Times New Roman" w:cs="Times New Roman"/>
          <w:bCs/>
          <w:sz w:val="17"/>
          <w:szCs w:val="17"/>
        </w:rPr>
        <w:t xml:space="preserve"> </w:t>
      </w:r>
      <w:r w:rsidRPr="0070357C">
        <w:rPr>
          <w:rFonts w:ascii="Times New Roman" w:eastAsia="Times New Roman" w:hAnsi="Times New Roman" w:cs="Times New Roman"/>
          <w:bCs/>
          <w:i/>
          <w:iCs/>
          <w:sz w:val="17"/>
          <w:szCs w:val="17"/>
        </w:rPr>
        <w:t>et al.</w:t>
      </w:r>
      <w:r w:rsidRPr="0070357C">
        <w:rPr>
          <w:rFonts w:ascii="Times New Roman" w:eastAsia="Times New Roman" w:hAnsi="Times New Roman" w:cs="Times New Roman"/>
          <w:bCs/>
          <w:sz w:val="17"/>
          <w:szCs w:val="17"/>
        </w:rPr>
        <w:t xml:space="preserve">, 2025; Bhat </w:t>
      </w:r>
      <w:r w:rsidRPr="0070357C">
        <w:rPr>
          <w:rFonts w:ascii="Times New Roman" w:eastAsia="Times New Roman" w:hAnsi="Times New Roman" w:cs="Times New Roman"/>
          <w:bCs/>
          <w:i/>
          <w:iCs/>
          <w:sz w:val="17"/>
          <w:szCs w:val="17"/>
        </w:rPr>
        <w:t>et al.</w:t>
      </w:r>
      <w:r w:rsidRPr="0070357C">
        <w:rPr>
          <w:rFonts w:ascii="Times New Roman" w:eastAsia="Times New Roman" w:hAnsi="Times New Roman" w:cs="Times New Roman"/>
          <w:bCs/>
          <w:sz w:val="17"/>
          <w:szCs w:val="17"/>
        </w:rPr>
        <w:t>, 2025; Sihag, 2025).</w:t>
      </w:r>
    </w:p>
    <w:p w14:paraId="78C5F30A"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92694C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This review therefore integrates biology, pollination ecology, health, threats and conservation, with a specific Indian perspective. It is a narrative review rather than a systematic review or meta-analysis and does not present a new experimental dataset or population census (Adit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2024; Ghosh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2025).</w:t>
      </w:r>
    </w:p>
    <w:p w14:paraId="5729FF03"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8277135"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Recent evidence indicates that honey bee health and pollination services are influenced by interacting biological, environmental, and agricultural factors rather than by individual stressors acting in isolation. Changes in floral resource availability, pesticide exposure, pathogens and parasites, climate variability, habitat modification, and beekeeping practices can affect foraging activity, nutrition, immunity, colony development, and reproductive performance. These effects may vary among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species and across agroecosystems because of differences in ecological adaptations, nesting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foraging patterns, management intensity, and exposure to environmental stressors. Consequently, an integrated assessment of bee biology, pollination function, colony health, and conservation is important for developing sustainable agricultural and adaptive management strategies (Hsieh &amp; Dolezal, 2024; Foster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2024).</w:t>
      </w:r>
    </w:p>
    <w:p w14:paraId="1A6F704D"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C2EFE4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bCs/>
          <w:sz w:val="17"/>
          <w:szCs w:val="17"/>
        </w:rPr>
      </w:pPr>
      <w:r w:rsidRPr="0070357C">
        <w:rPr>
          <w:rFonts w:ascii="Times New Roman" w:eastAsia="Times New Roman" w:hAnsi="Times New Roman" w:cs="Times New Roman"/>
          <w:bCs/>
          <w:sz w:val="17"/>
          <w:szCs w:val="17"/>
        </w:rPr>
        <w:t xml:space="preserve">However, Indian evidence remains uneven across </w:t>
      </w:r>
      <w:r w:rsidRPr="0070357C">
        <w:rPr>
          <w:rFonts w:ascii="Times New Roman" w:eastAsia="Times New Roman" w:hAnsi="Times New Roman" w:cs="Times New Roman"/>
          <w:bCs/>
          <w:i/>
          <w:iCs/>
          <w:sz w:val="17"/>
          <w:szCs w:val="17"/>
        </w:rPr>
        <w:t>Apis</w:t>
      </w:r>
      <w:r w:rsidRPr="0070357C">
        <w:rPr>
          <w:rFonts w:ascii="Times New Roman" w:eastAsia="Times New Roman" w:hAnsi="Times New Roman" w:cs="Times New Roman"/>
          <w:bCs/>
          <w:sz w:val="17"/>
          <w:szCs w:val="17"/>
        </w:rPr>
        <w:t xml:space="preserve"> species and agroecosystems, with limited integration of pollination, colony-health stressors, and landscape-level conservation.</w:t>
      </w:r>
    </w:p>
    <w:p w14:paraId="41DEE06F"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E54E3F5" w14:textId="27760ADD" w:rsidR="0083750D" w:rsidRPr="0070357C" w:rsidRDefault="00EC6CD3" w:rsidP="0070357C">
      <w:pPr>
        <w:pStyle w:val="Heading4"/>
        <w:rPr>
          <w:rFonts w:eastAsia="Arial MT" w:cs="Times New Roman"/>
        </w:rPr>
      </w:pPr>
      <w:r w:rsidRPr="0070357C">
        <w:rPr>
          <w:rFonts w:eastAsia="Arial MT" w:cs="Times New Roman"/>
        </w:rPr>
        <w:t xml:space="preserve">1.1 </w:t>
      </w:r>
      <w:r w:rsidR="0083750D" w:rsidRPr="0070357C">
        <w:rPr>
          <w:rFonts w:eastAsia="Arial MT" w:cs="Times New Roman"/>
        </w:rPr>
        <w:t>Objectives of the Review</w:t>
      </w:r>
    </w:p>
    <w:p w14:paraId="22E714ED" w14:textId="77777777" w:rsidR="00EC6CD3" w:rsidRPr="0070357C" w:rsidRDefault="00EC6CD3" w:rsidP="0070357C">
      <w:pPr>
        <w:widowControl w:val="0"/>
        <w:autoSpaceDE w:val="0"/>
        <w:autoSpaceDN w:val="0"/>
        <w:spacing w:after="0" w:line="240" w:lineRule="auto"/>
        <w:jc w:val="both"/>
        <w:outlineLvl w:val="0"/>
        <w:rPr>
          <w:rFonts w:ascii="Times New Roman" w:eastAsia="Arial MT" w:hAnsi="Times New Roman" w:cs="Times New Roman"/>
          <w:sz w:val="17"/>
          <w:szCs w:val="17"/>
        </w:rPr>
      </w:pPr>
    </w:p>
    <w:p w14:paraId="39B9FB7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The objectives of this narrative review are to:</w:t>
      </w:r>
    </w:p>
    <w:p w14:paraId="2EF1707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F74ED81" w14:textId="77777777" w:rsidR="0083750D" w:rsidRPr="0070357C" w:rsidRDefault="0083750D" w:rsidP="0070357C">
      <w:pPr>
        <w:pStyle w:val="ListParagraph"/>
        <w:numPr>
          <w:ilvl w:val="0"/>
          <w:numId w:val="15"/>
        </w:numPr>
        <w:tabs>
          <w:tab w:val="left" w:pos="1980"/>
        </w:tabs>
        <w:jc w:val="both"/>
        <w:rPr>
          <w:sz w:val="17"/>
          <w:szCs w:val="17"/>
        </w:rPr>
      </w:pPr>
      <w:proofErr w:type="spellStart"/>
      <w:r w:rsidRPr="0070357C">
        <w:rPr>
          <w:sz w:val="17"/>
          <w:szCs w:val="17"/>
        </w:rPr>
        <w:t>synthesise</w:t>
      </w:r>
      <w:proofErr w:type="spellEnd"/>
      <w:r w:rsidRPr="0070357C">
        <w:rPr>
          <w:sz w:val="17"/>
          <w:szCs w:val="17"/>
        </w:rPr>
        <w:t xml:space="preserve"> current knowledge on the biology, diversity, distribution, colony </w:t>
      </w:r>
      <w:proofErr w:type="spellStart"/>
      <w:r w:rsidRPr="0070357C">
        <w:rPr>
          <w:sz w:val="17"/>
          <w:szCs w:val="17"/>
        </w:rPr>
        <w:t>organisation</w:t>
      </w:r>
      <w:proofErr w:type="spellEnd"/>
      <w:r w:rsidRPr="0070357C">
        <w:rPr>
          <w:sz w:val="17"/>
          <w:szCs w:val="17"/>
        </w:rPr>
        <w:t xml:space="preserve">, </w:t>
      </w:r>
      <w:proofErr w:type="spellStart"/>
      <w:r w:rsidRPr="0070357C">
        <w:rPr>
          <w:sz w:val="17"/>
          <w:szCs w:val="17"/>
        </w:rPr>
        <w:t>behaviour</w:t>
      </w:r>
      <w:proofErr w:type="spellEnd"/>
      <w:r w:rsidRPr="0070357C">
        <w:rPr>
          <w:sz w:val="17"/>
          <w:szCs w:val="17"/>
        </w:rPr>
        <w:t>, and foraging ecology of honey bees (</w:t>
      </w:r>
      <w:r w:rsidRPr="0070357C">
        <w:rPr>
          <w:i/>
          <w:iCs/>
          <w:sz w:val="17"/>
          <w:szCs w:val="17"/>
        </w:rPr>
        <w:t>Apis</w:t>
      </w:r>
      <w:r w:rsidRPr="0070357C">
        <w:rPr>
          <w:i/>
          <w:sz w:val="17"/>
          <w:szCs w:val="17"/>
        </w:rPr>
        <w:t xml:space="preserve"> spp.), with emphasis on species relevant to Indian </w:t>
      </w:r>
      <w:r w:rsidRPr="0070357C">
        <w:rPr>
          <w:sz w:val="17"/>
          <w:szCs w:val="17"/>
        </w:rPr>
        <w:t>agroecosystems;</w:t>
      </w:r>
    </w:p>
    <w:p w14:paraId="43C8715D" w14:textId="77777777" w:rsidR="0083750D" w:rsidRPr="0070357C" w:rsidRDefault="0083750D" w:rsidP="0070357C">
      <w:pPr>
        <w:widowControl w:val="0"/>
        <w:tabs>
          <w:tab w:val="left" w:pos="1980"/>
        </w:tabs>
        <w:autoSpaceDE w:val="0"/>
        <w:autoSpaceDN w:val="0"/>
        <w:spacing w:after="0" w:line="240" w:lineRule="auto"/>
        <w:ind w:left="720"/>
        <w:jc w:val="both"/>
        <w:rPr>
          <w:rFonts w:ascii="Times New Roman" w:eastAsia="Times New Roman" w:hAnsi="Times New Roman" w:cs="Times New Roman"/>
          <w:sz w:val="17"/>
          <w:szCs w:val="17"/>
        </w:rPr>
      </w:pPr>
    </w:p>
    <w:p w14:paraId="7BB1CE3B" w14:textId="77777777" w:rsidR="0083750D" w:rsidRPr="0070357C" w:rsidRDefault="0083750D" w:rsidP="0070357C">
      <w:pPr>
        <w:pStyle w:val="ListParagraph"/>
        <w:numPr>
          <w:ilvl w:val="0"/>
          <w:numId w:val="15"/>
        </w:numPr>
        <w:tabs>
          <w:tab w:val="left" w:pos="1710"/>
          <w:tab w:val="left" w:pos="1980"/>
        </w:tabs>
        <w:jc w:val="both"/>
        <w:rPr>
          <w:sz w:val="17"/>
          <w:szCs w:val="17"/>
        </w:rPr>
      </w:pPr>
      <w:r w:rsidRPr="0070357C">
        <w:rPr>
          <w:sz w:val="17"/>
          <w:szCs w:val="17"/>
        </w:rPr>
        <w:t>examine the contribution of honey bees to pollination services and agricultural productivity;</w:t>
      </w:r>
    </w:p>
    <w:p w14:paraId="6F419847" w14:textId="77777777" w:rsidR="0083750D" w:rsidRPr="0070357C" w:rsidRDefault="0083750D" w:rsidP="0070357C">
      <w:pPr>
        <w:widowControl w:val="0"/>
        <w:tabs>
          <w:tab w:val="left" w:pos="1980"/>
        </w:tabs>
        <w:autoSpaceDE w:val="0"/>
        <w:autoSpaceDN w:val="0"/>
        <w:spacing w:after="0" w:line="240" w:lineRule="auto"/>
        <w:ind w:left="720"/>
        <w:jc w:val="both"/>
        <w:rPr>
          <w:rFonts w:ascii="Times New Roman" w:eastAsia="Times New Roman" w:hAnsi="Times New Roman" w:cs="Times New Roman"/>
          <w:sz w:val="17"/>
          <w:szCs w:val="17"/>
        </w:rPr>
      </w:pPr>
    </w:p>
    <w:p w14:paraId="427BDCE5" w14:textId="77777777" w:rsidR="0083750D" w:rsidRPr="0070357C" w:rsidRDefault="0083750D" w:rsidP="0070357C">
      <w:pPr>
        <w:pStyle w:val="ListParagraph"/>
        <w:numPr>
          <w:ilvl w:val="0"/>
          <w:numId w:val="15"/>
        </w:numPr>
        <w:tabs>
          <w:tab w:val="left" w:pos="1980"/>
          <w:tab w:val="left" w:pos="2250"/>
        </w:tabs>
        <w:jc w:val="both"/>
        <w:rPr>
          <w:sz w:val="17"/>
          <w:szCs w:val="17"/>
        </w:rPr>
      </w:pPr>
      <w:r w:rsidRPr="0070357C">
        <w:rPr>
          <w:sz w:val="17"/>
          <w:szCs w:val="17"/>
        </w:rPr>
        <w:t>evaluate major factors affecting colony health, including nutrition, pathogens and parasites, pesticides, climate variability, habitat change, and other interacting environmental stressors;</w:t>
      </w:r>
    </w:p>
    <w:p w14:paraId="24D615D5" w14:textId="77777777" w:rsidR="0083750D" w:rsidRPr="0070357C" w:rsidRDefault="0083750D" w:rsidP="0070357C">
      <w:pPr>
        <w:widowControl w:val="0"/>
        <w:tabs>
          <w:tab w:val="left" w:pos="1980"/>
        </w:tabs>
        <w:autoSpaceDE w:val="0"/>
        <w:autoSpaceDN w:val="0"/>
        <w:spacing w:after="0" w:line="240" w:lineRule="auto"/>
        <w:ind w:left="720"/>
        <w:jc w:val="both"/>
        <w:rPr>
          <w:rFonts w:ascii="Times New Roman" w:eastAsia="Times New Roman" w:hAnsi="Times New Roman" w:cs="Times New Roman"/>
          <w:sz w:val="17"/>
          <w:szCs w:val="17"/>
        </w:rPr>
      </w:pPr>
    </w:p>
    <w:p w14:paraId="441061A6" w14:textId="77777777" w:rsidR="0083750D" w:rsidRPr="0070357C" w:rsidRDefault="0083750D" w:rsidP="0070357C">
      <w:pPr>
        <w:pStyle w:val="ListParagraph"/>
        <w:numPr>
          <w:ilvl w:val="0"/>
          <w:numId w:val="15"/>
        </w:numPr>
        <w:tabs>
          <w:tab w:val="left" w:pos="662"/>
          <w:tab w:val="left" w:pos="1980"/>
        </w:tabs>
        <w:jc w:val="both"/>
        <w:rPr>
          <w:sz w:val="17"/>
          <w:szCs w:val="17"/>
        </w:rPr>
      </w:pPr>
      <w:proofErr w:type="spellStart"/>
      <w:r w:rsidRPr="0070357C">
        <w:rPr>
          <w:sz w:val="17"/>
          <w:szCs w:val="17"/>
        </w:rPr>
        <w:t>summarise</w:t>
      </w:r>
      <w:proofErr w:type="spellEnd"/>
      <w:r w:rsidRPr="0070357C">
        <w:rPr>
          <w:sz w:val="17"/>
          <w:szCs w:val="17"/>
        </w:rPr>
        <w:t xml:space="preserve"> sustainable beekeeping, conservation, and adaptive management approaches for maintaining healthy honey bee populations and pollination services; and</w:t>
      </w:r>
    </w:p>
    <w:p w14:paraId="437EEBE8" w14:textId="77777777" w:rsidR="0083750D" w:rsidRPr="0070357C" w:rsidRDefault="0083750D" w:rsidP="0070357C">
      <w:pPr>
        <w:widowControl w:val="0"/>
        <w:tabs>
          <w:tab w:val="left" w:pos="1980"/>
        </w:tabs>
        <w:autoSpaceDE w:val="0"/>
        <w:autoSpaceDN w:val="0"/>
        <w:spacing w:after="0" w:line="240" w:lineRule="auto"/>
        <w:ind w:left="720"/>
        <w:jc w:val="both"/>
        <w:rPr>
          <w:rFonts w:ascii="Times New Roman" w:eastAsia="Times New Roman" w:hAnsi="Times New Roman" w:cs="Times New Roman"/>
          <w:sz w:val="17"/>
          <w:szCs w:val="17"/>
        </w:rPr>
      </w:pPr>
    </w:p>
    <w:p w14:paraId="772CEB82" w14:textId="77777777" w:rsidR="0083750D" w:rsidRPr="0070357C" w:rsidRDefault="0083750D" w:rsidP="0070357C">
      <w:pPr>
        <w:pStyle w:val="ListParagraph"/>
        <w:numPr>
          <w:ilvl w:val="0"/>
          <w:numId w:val="15"/>
        </w:numPr>
        <w:tabs>
          <w:tab w:val="left" w:pos="1980"/>
          <w:tab w:val="left" w:pos="2520"/>
        </w:tabs>
        <w:jc w:val="both"/>
        <w:rPr>
          <w:sz w:val="17"/>
          <w:szCs w:val="17"/>
        </w:rPr>
      </w:pPr>
      <w:r w:rsidRPr="0070357C">
        <w:rPr>
          <w:sz w:val="17"/>
          <w:szCs w:val="17"/>
        </w:rPr>
        <w:t>identify major research gaps and future priorities for integrating honey bee health, pollination biology, biodiversity conservation, and sustainable agricultural practices in India.</w:t>
      </w:r>
    </w:p>
    <w:p w14:paraId="1153DE5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984F8FB" w14:textId="60FF2CB6" w:rsidR="0083750D" w:rsidRPr="0070357C" w:rsidRDefault="00EC6CD3" w:rsidP="0070357C">
      <w:pPr>
        <w:pStyle w:val="Heading3"/>
        <w:rPr>
          <w:rFonts w:eastAsia="Arial MT" w:cs="Times New Roman"/>
        </w:rPr>
      </w:pPr>
      <w:r w:rsidRPr="0070357C">
        <w:rPr>
          <w:rFonts w:eastAsia="Arial MT" w:cs="Times New Roman"/>
        </w:rPr>
        <w:t xml:space="preserve">2. </w:t>
      </w:r>
      <w:r w:rsidR="0083750D" w:rsidRPr="0070357C">
        <w:rPr>
          <w:rFonts w:eastAsia="Arial MT" w:cs="Times New Roman"/>
        </w:rPr>
        <w:t>Literature Search and Review Approach</w:t>
      </w:r>
    </w:p>
    <w:p w14:paraId="2E451930" w14:textId="77777777" w:rsidR="00EC6CD3" w:rsidRPr="0070357C" w:rsidRDefault="00EC6CD3" w:rsidP="0070357C">
      <w:pPr>
        <w:widowControl w:val="0"/>
        <w:tabs>
          <w:tab w:val="left" w:pos="525"/>
        </w:tabs>
        <w:autoSpaceDE w:val="0"/>
        <w:autoSpaceDN w:val="0"/>
        <w:spacing w:after="0" w:line="240" w:lineRule="auto"/>
        <w:jc w:val="both"/>
        <w:outlineLvl w:val="0"/>
        <w:rPr>
          <w:rFonts w:ascii="Times New Roman" w:eastAsia="Arial MT" w:hAnsi="Times New Roman" w:cs="Times New Roman"/>
          <w:sz w:val="17"/>
          <w:szCs w:val="17"/>
        </w:rPr>
      </w:pPr>
    </w:p>
    <w:p w14:paraId="5D50A56D"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review was </w:t>
      </w:r>
      <w:proofErr w:type="spellStart"/>
      <w:r w:rsidRPr="0070357C">
        <w:rPr>
          <w:rFonts w:ascii="Times New Roman" w:eastAsia="Times New Roman" w:hAnsi="Times New Roman" w:cs="Times New Roman"/>
          <w:sz w:val="17"/>
          <w:szCs w:val="17"/>
        </w:rPr>
        <w:t>organised</w:t>
      </w:r>
      <w:proofErr w:type="spellEnd"/>
      <w:r w:rsidRPr="0070357C">
        <w:rPr>
          <w:rFonts w:ascii="Times New Roman" w:eastAsia="Times New Roman" w:hAnsi="Times New Roman" w:cs="Times New Roman"/>
          <w:sz w:val="17"/>
          <w:szCs w:val="17"/>
        </w:rPr>
        <w:t xml:space="preserve"> using combinations of the terms “honey bee,”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cerana,”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mellifera,”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dorsata,” “pollination,” “beekeeping,” “colony health,” “pesticides,” </w:t>
      </w:r>
      <w:r w:rsidRPr="0070357C">
        <w:rPr>
          <w:rFonts w:ascii="Times New Roman" w:eastAsia="Times New Roman" w:hAnsi="Times New Roman" w:cs="Times New Roman"/>
          <w:sz w:val="17"/>
          <w:szCs w:val="17"/>
        </w:rPr>
        <w:t xml:space="preserve">“parasites,” “pathogens,” “microbiome,” “climate change,” “India,” </w:t>
      </w:r>
      <w:r w:rsidRPr="0070357C">
        <w:rPr>
          <w:rFonts w:ascii="Times New Roman" w:eastAsia="Times New Roman" w:hAnsi="Times New Roman" w:cs="Times New Roman"/>
          <w:sz w:val="17"/>
          <w:szCs w:val="17"/>
        </w:rPr>
        <w:lastRenderedPageBreak/>
        <w:t xml:space="preserve">and “pollinator conservation.” Peer-reviewed articles, scholarly reviews and Indian agricultural and entomological literature were </w:t>
      </w:r>
      <w:proofErr w:type="spellStart"/>
      <w:r w:rsidRPr="0070357C">
        <w:rPr>
          <w:rFonts w:ascii="Times New Roman" w:eastAsia="Times New Roman" w:hAnsi="Times New Roman" w:cs="Times New Roman"/>
          <w:sz w:val="17"/>
          <w:szCs w:val="17"/>
        </w:rPr>
        <w:t>prioritised</w:t>
      </w:r>
      <w:proofErr w:type="spellEnd"/>
      <w:r w:rsidRPr="0070357C">
        <w:rPr>
          <w:rFonts w:ascii="Times New Roman" w:eastAsia="Times New Roman" w:hAnsi="Times New Roman" w:cs="Times New Roman"/>
          <w:sz w:val="17"/>
          <w:szCs w:val="17"/>
        </w:rPr>
        <w:t>. Reference lists of relevant reviews were also used to identify foundational studies.</w:t>
      </w:r>
    </w:p>
    <w:p w14:paraId="7991DDDF"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C906359" w14:textId="63C8C7A4"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Priority was given to recent literature while retaining established studies that define major concepts or provide important Indian evidence. Particular attention was given to evidence on pollination services, pesticide exposure, nutrition, disease, climate, microbiome and multi-stressor effects. Indian examples</w:t>
      </w:r>
      <w:r w:rsidR="00EC6CD3"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sz w:val="17"/>
          <w:szCs w:val="17"/>
        </w:rPr>
        <w:t>were included where they directly illustrated species biology, agricultural pollination, pesticide risk or beekeeping.</w:t>
      </w:r>
    </w:p>
    <w:p w14:paraId="168EC336"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A4007EC"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Because this is a narrative synthesis, no pooled effect size or formal meta-analysis was attempted. Conclusions are framed according to the strength and scope of the available literature. Where evidence is species-specific, especially for </w:t>
      </w:r>
      <w:r w:rsidRPr="0070357C">
        <w:rPr>
          <w:rFonts w:ascii="Times New Roman" w:eastAsia="Times New Roman" w:hAnsi="Times New Roman" w:cs="Times New Roman"/>
          <w:i/>
          <w:sz w:val="17"/>
          <w:szCs w:val="17"/>
        </w:rPr>
        <w:t>A. mellifera, it is not</w:t>
      </w:r>
      <w:r w:rsidRPr="0070357C">
        <w:rPr>
          <w:rFonts w:ascii="Times New Roman" w:eastAsia="Times New Roman" w:hAnsi="Times New Roman" w:cs="Times New Roman"/>
          <w:sz w:val="17"/>
          <w:szCs w:val="17"/>
        </w:rPr>
        <w:t xml:space="preserve"> automatically </w:t>
      </w:r>
      <w:proofErr w:type="spellStart"/>
      <w:r w:rsidRPr="0070357C">
        <w:rPr>
          <w:rFonts w:ascii="Times New Roman" w:eastAsia="Times New Roman" w:hAnsi="Times New Roman" w:cs="Times New Roman"/>
          <w:sz w:val="17"/>
          <w:szCs w:val="17"/>
        </w:rPr>
        <w:t>generalised</w:t>
      </w:r>
      <w:proofErr w:type="spellEnd"/>
      <w:r w:rsidRPr="0070357C">
        <w:rPr>
          <w:rFonts w:ascii="Times New Roman" w:eastAsia="Times New Roman" w:hAnsi="Times New Roman" w:cs="Times New Roman"/>
          <w:sz w:val="17"/>
          <w:szCs w:val="17"/>
        </w:rPr>
        <w:t xml:space="preserve"> to A. cerana, A. dorsata or other bees.</w:t>
      </w:r>
    </w:p>
    <w:p w14:paraId="357CEA96"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4404E04" w14:textId="3FE0602A" w:rsidR="0083750D" w:rsidRPr="0070357C" w:rsidRDefault="00FF68A3" w:rsidP="0070357C">
      <w:pPr>
        <w:pStyle w:val="Heading3"/>
        <w:rPr>
          <w:rFonts w:cs="Times New Roman"/>
        </w:rPr>
      </w:pPr>
      <w:r w:rsidRPr="0070357C">
        <w:rPr>
          <w:rFonts w:cs="Times New Roman"/>
        </w:rPr>
        <w:t>3.</w:t>
      </w:r>
      <w:r w:rsidR="00EC6CD3" w:rsidRPr="0070357C">
        <w:rPr>
          <w:rFonts w:cs="Times New Roman"/>
        </w:rPr>
        <w:t xml:space="preserve"> </w:t>
      </w:r>
      <w:r w:rsidR="0083750D" w:rsidRPr="0070357C">
        <w:rPr>
          <w:rFonts w:cs="Times New Roman"/>
        </w:rPr>
        <w:t>Diversity, Taxonomy and Distribution of Honey Bees in India</w:t>
      </w:r>
    </w:p>
    <w:p w14:paraId="33126A3C" w14:textId="77777777" w:rsidR="00EC6CD3" w:rsidRPr="0070357C" w:rsidRDefault="00EC6CD3" w:rsidP="0070357C">
      <w:pPr>
        <w:widowControl w:val="0"/>
        <w:tabs>
          <w:tab w:val="left" w:pos="525"/>
        </w:tabs>
        <w:autoSpaceDE w:val="0"/>
        <w:autoSpaceDN w:val="0"/>
        <w:spacing w:after="0" w:line="240" w:lineRule="auto"/>
        <w:jc w:val="both"/>
        <w:outlineLvl w:val="0"/>
        <w:rPr>
          <w:rFonts w:ascii="Times New Roman" w:eastAsia="Arial MT" w:hAnsi="Times New Roman" w:cs="Times New Roman"/>
          <w:sz w:val="17"/>
          <w:szCs w:val="17"/>
        </w:rPr>
      </w:pPr>
    </w:p>
    <w:p w14:paraId="01FDBAE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India supports a diverse honey bee fauna and a long history of apiculture. </w:t>
      </w:r>
      <w:r w:rsidRPr="0070357C">
        <w:rPr>
          <w:rFonts w:ascii="Times New Roman" w:eastAsia="Times New Roman" w:hAnsi="Times New Roman" w:cs="Times New Roman"/>
          <w:i/>
          <w:sz w:val="17"/>
          <w:szCs w:val="17"/>
        </w:rPr>
        <w:t xml:space="preserve">A. cerana is indigenous </w:t>
      </w:r>
      <w:r w:rsidRPr="0070357C">
        <w:rPr>
          <w:rFonts w:ascii="Times New Roman" w:eastAsia="Times New Roman" w:hAnsi="Times New Roman" w:cs="Times New Roman"/>
          <w:sz w:val="17"/>
          <w:szCs w:val="17"/>
        </w:rPr>
        <w:t xml:space="preserve">and widely adapted to Asian environments, whereas </w:t>
      </w:r>
      <w:r w:rsidRPr="0070357C">
        <w:rPr>
          <w:rFonts w:ascii="Times New Roman" w:eastAsia="Times New Roman" w:hAnsi="Times New Roman" w:cs="Times New Roman"/>
          <w:i/>
          <w:sz w:val="17"/>
          <w:szCs w:val="17"/>
        </w:rPr>
        <w:t xml:space="preserve">A. mellifera was introduced for commercial beekeeping and became important in </w:t>
      </w:r>
      <w:proofErr w:type="spellStart"/>
      <w:r w:rsidRPr="0070357C">
        <w:rPr>
          <w:rFonts w:ascii="Times New Roman" w:eastAsia="Times New Roman" w:hAnsi="Times New Roman" w:cs="Times New Roman"/>
          <w:sz w:val="17"/>
          <w:szCs w:val="17"/>
        </w:rPr>
        <w:t>organised</w:t>
      </w:r>
      <w:proofErr w:type="spellEnd"/>
      <w:r w:rsidRPr="0070357C">
        <w:rPr>
          <w:rFonts w:ascii="Times New Roman" w:eastAsia="Times New Roman" w:hAnsi="Times New Roman" w:cs="Times New Roman"/>
          <w:sz w:val="17"/>
          <w:szCs w:val="17"/>
        </w:rPr>
        <w:t xml:space="preserve"> honey production. Wild species such as </w:t>
      </w:r>
      <w:r w:rsidRPr="0070357C">
        <w:rPr>
          <w:rFonts w:ascii="Times New Roman" w:eastAsia="Times New Roman" w:hAnsi="Times New Roman" w:cs="Times New Roman"/>
          <w:i/>
          <w:sz w:val="17"/>
          <w:szCs w:val="17"/>
        </w:rPr>
        <w:t>A. dorsata and A. florea contribute to natural pollination</w:t>
      </w:r>
      <w:r w:rsidRPr="0070357C">
        <w:rPr>
          <w:rFonts w:ascii="Times New Roman" w:eastAsia="Times New Roman" w:hAnsi="Times New Roman" w:cs="Times New Roman"/>
          <w:sz w:val="17"/>
          <w:szCs w:val="17"/>
        </w:rPr>
        <w:t xml:space="preserve"> and honey resources but differ substantially from cavity-nesting managed colonies in nesting biology and management feasibility (Ghosh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2025).</w:t>
      </w:r>
    </w:p>
    <w:p w14:paraId="4A9BAB90"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DF82CBF"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iCs/>
          <w:sz w:val="17"/>
          <w:szCs w:val="17"/>
        </w:rPr>
      </w:pPr>
      <w:r w:rsidRPr="0070357C">
        <w:rPr>
          <w:rFonts w:ascii="Times New Roman" w:eastAsia="Times New Roman" w:hAnsi="Times New Roman" w:cs="Times New Roman"/>
          <w:i/>
          <w:sz w:val="17"/>
          <w:szCs w:val="17"/>
        </w:rPr>
        <w:t>A. cerana</w:t>
      </w:r>
      <w:r w:rsidRPr="0070357C">
        <w:rPr>
          <w:rFonts w:ascii="Times New Roman" w:eastAsia="Times New Roman" w:hAnsi="Times New Roman" w:cs="Times New Roman"/>
          <w:sz w:val="17"/>
          <w:szCs w:val="17"/>
        </w:rPr>
        <w:t xml:space="preserve"> is particularly relevant to Indian beekeeping because it can be maintained in hives under a range of climatic conditions. Urban and peri-urban beekeeping studies have also shown that bee flora and hive suitability are important determinants of the feasibility of </w:t>
      </w:r>
      <w:r w:rsidRPr="0070357C">
        <w:rPr>
          <w:rFonts w:ascii="Times New Roman" w:eastAsia="Times New Roman" w:hAnsi="Times New Roman" w:cs="Times New Roman"/>
          <w:i/>
          <w:sz w:val="17"/>
          <w:szCs w:val="17"/>
        </w:rPr>
        <w:t xml:space="preserve">A. cerana management (Vijayakumar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2023). </w:t>
      </w:r>
      <w:r w:rsidRPr="0070357C">
        <w:rPr>
          <w:rFonts w:ascii="Times New Roman" w:eastAsia="Times New Roman" w:hAnsi="Times New Roman" w:cs="Times New Roman"/>
          <w:i/>
          <w:sz w:val="17"/>
          <w:szCs w:val="17"/>
        </w:rPr>
        <w:t xml:space="preserve">A. mellifera </w:t>
      </w:r>
      <w:r w:rsidRPr="0070357C">
        <w:rPr>
          <w:rFonts w:ascii="Times New Roman" w:eastAsia="Times New Roman" w:hAnsi="Times New Roman" w:cs="Times New Roman"/>
          <w:iCs/>
          <w:sz w:val="17"/>
          <w:szCs w:val="17"/>
        </w:rPr>
        <w:t>has high commercial value because strong colonies can exploit mass-flowering agricultural crops, but intensive management can also increase the importance of disease surveillance, forage continuity and responsible movement of colonies.</w:t>
      </w:r>
    </w:p>
    <w:p w14:paraId="24AB17E8"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34D98CC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Open-nesting species require a different conservation perspective. Their populations depend on suitable nesting cliffs, trees or other structures and on the availability of floral resources across large landscapes. The presence of wild honey bees should therefore be treated as part of broader pollinator habitat conservation rather than only as an unharvested honey resource.</w:t>
      </w:r>
    </w:p>
    <w:p w14:paraId="28752D72"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8F9B22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Indian apiculture has traditionally </w:t>
      </w:r>
      <w:proofErr w:type="spellStart"/>
      <w:r w:rsidRPr="0070357C">
        <w:rPr>
          <w:rFonts w:ascii="Times New Roman" w:eastAsia="Times New Roman" w:hAnsi="Times New Roman" w:cs="Times New Roman"/>
          <w:sz w:val="17"/>
          <w:szCs w:val="17"/>
        </w:rPr>
        <w:t>emphasised</w:t>
      </w:r>
      <w:proofErr w:type="spellEnd"/>
      <w:r w:rsidRPr="0070357C">
        <w:rPr>
          <w:rFonts w:ascii="Times New Roman" w:eastAsia="Times New Roman" w:hAnsi="Times New Roman" w:cs="Times New Roman"/>
          <w:sz w:val="17"/>
          <w:szCs w:val="17"/>
        </w:rPr>
        <w:t xml:space="preserve"> honey yield, but a broader perspective includes beeswax, pollen, propolis, royal jelly, bee venom, pollination services and the ecological value of maintaining pollinator populations. Ghosh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(2025) argues that diversification and better disease, resource and stakeholder management are important opportunities for the sector.</w:t>
      </w:r>
    </w:p>
    <w:p w14:paraId="3E33C361"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2DB31D5" w14:textId="04A2DA50" w:rsidR="0083750D" w:rsidRPr="0070357C" w:rsidRDefault="00FF68A3" w:rsidP="0070357C">
      <w:pPr>
        <w:pStyle w:val="Heading3"/>
        <w:rPr>
          <w:rFonts w:cs="Times New Roman"/>
        </w:rPr>
      </w:pPr>
      <w:r w:rsidRPr="0070357C">
        <w:rPr>
          <w:rFonts w:cs="Times New Roman"/>
        </w:rPr>
        <w:t>4.</w:t>
      </w:r>
      <w:r w:rsidR="00EC6CD3" w:rsidRPr="0070357C">
        <w:rPr>
          <w:rFonts w:cs="Times New Roman"/>
        </w:rPr>
        <w:t xml:space="preserve"> </w:t>
      </w:r>
      <w:r w:rsidR="0083750D" w:rsidRPr="0070357C">
        <w:rPr>
          <w:rFonts w:cs="Times New Roman"/>
        </w:rPr>
        <w:t xml:space="preserve">Colony </w:t>
      </w:r>
      <w:proofErr w:type="spellStart"/>
      <w:r w:rsidR="0083750D" w:rsidRPr="0070357C">
        <w:rPr>
          <w:rFonts w:cs="Times New Roman"/>
        </w:rPr>
        <w:t>Organisation</w:t>
      </w:r>
      <w:proofErr w:type="spellEnd"/>
      <w:r w:rsidR="0083750D" w:rsidRPr="0070357C">
        <w:rPr>
          <w:rFonts w:cs="Times New Roman"/>
        </w:rPr>
        <w:t xml:space="preserve">, Development and Division of </w:t>
      </w:r>
      <w:proofErr w:type="spellStart"/>
      <w:r w:rsidR="0083750D" w:rsidRPr="0070357C">
        <w:rPr>
          <w:rFonts w:cs="Times New Roman"/>
        </w:rPr>
        <w:t>Labour</w:t>
      </w:r>
      <w:proofErr w:type="spellEnd"/>
    </w:p>
    <w:p w14:paraId="3E7EC4BC" w14:textId="77777777" w:rsidR="00EC6CD3" w:rsidRPr="0070357C" w:rsidRDefault="00EC6CD3" w:rsidP="0070357C">
      <w:pPr>
        <w:widowControl w:val="0"/>
        <w:tabs>
          <w:tab w:val="left" w:pos="525"/>
        </w:tabs>
        <w:autoSpaceDE w:val="0"/>
        <w:autoSpaceDN w:val="0"/>
        <w:spacing w:after="0" w:line="240" w:lineRule="auto"/>
        <w:jc w:val="both"/>
        <w:outlineLvl w:val="0"/>
        <w:rPr>
          <w:rFonts w:ascii="Times New Roman" w:eastAsia="Arial MT" w:hAnsi="Times New Roman" w:cs="Times New Roman"/>
          <w:sz w:val="17"/>
          <w:szCs w:val="17"/>
        </w:rPr>
      </w:pPr>
    </w:p>
    <w:p w14:paraId="0E13B12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A honey bee colony is a superorganism-like social system in which the queen, workers and drones have different reproductive and </w:t>
      </w:r>
      <w:proofErr w:type="spellStart"/>
      <w:r w:rsidRPr="0070357C">
        <w:rPr>
          <w:rFonts w:ascii="Times New Roman" w:eastAsia="Times New Roman" w:hAnsi="Times New Roman" w:cs="Times New Roman"/>
          <w:sz w:val="17"/>
          <w:szCs w:val="17"/>
        </w:rPr>
        <w:t>behavioural</w:t>
      </w:r>
      <w:proofErr w:type="spellEnd"/>
      <w:r w:rsidRPr="0070357C">
        <w:rPr>
          <w:rFonts w:ascii="Times New Roman" w:eastAsia="Times New Roman" w:hAnsi="Times New Roman" w:cs="Times New Roman"/>
          <w:sz w:val="17"/>
          <w:szCs w:val="17"/>
        </w:rPr>
        <w:t xml:space="preserve"> roles. The queen is the primary reproductive female, workers perform most colony maintenance and foraging activities, and drones contribute to reproduction. Worker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is flexible rather than fixed: tasks change with age, colony needs and environmental conditions.</w:t>
      </w:r>
    </w:p>
    <w:p w14:paraId="6FC192A0"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6FE93AF" w14:textId="5E184B5A" w:rsidR="00EC6CD3" w:rsidRPr="0070357C" w:rsidRDefault="00EC6CD3" w:rsidP="0070357C">
      <w:pPr>
        <w:widowControl w:val="0"/>
        <w:autoSpaceDE w:val="0"/>
        <w:autoSpaceDN w:val="0"/>
        <w:spacing w:after="0" w:line="240" w:lineRule="auto"/>
        <w:jc w:val="center"/>
        <w:rPr>
          <w:rFonts w:ascii="Times New Roman" w:eastAsia="Times New Roman" w:hAnsi="Times New Roman" w:cs="Times New Roman"/>
          <w:sz w:val="17"/>
          <w:szCs w:val="17"/>
        </w:rPr>
      </w:pPr>
      <w:r w:rsidRPr="0070357C">
        <w:rPr>
          <w:rFonts w:ascii="Times New Roman" w:hAnsi="Times New Roman" w:cs="Times New Roman"/>
          <w:noProof/>
        </w:rPr>
        <w:drawing>
          <wp:inline distT="0" distB="0" distL="0" distR="0" wp14:anchorId="650FA09F" wp14:editId="23DF24B3">
            <wp:extent cx="4837913" cy="2962510"/>
            <wp:effectExtent l="0" t="0" r="0" b="0"/>
            <wp:docPr id="496841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41254" name=""/>
                    <pic:cNvPicPr/>
                  </pic:nvPicPr>
                  <pic:blipFill>
                    <a:blip r:embed="rId10"/>
                    <a:stretch>
                      <a:fillRect/>
                    </a:stretch>
                  </pic:blipFill>
                  <pic:spPr>
                    <a:xfrm>
                      <a:off x="0" y="0"/>
                      <a:ext cx="4879409" cy="2987920"/>
                    </a:xfrm>
                    <a:prstGeom prst="rect">
                      <a:avLst/>
                    </a:prstGeom>
                  </pic:spPr>
                </pic:pic>
              </a:graphicData>
            </a:graphic>
          </wp:inline>
        </w:drawing>
      </w:r>
    </w:p>
    <w:p w14:paraId="48A0F54D" w14:textId="77777777" w:rsidR="00EC6CD3" w:rsidRPr="0070357C" w:rsidRDefault="00EC6CD3" w:rsidP="0070357C">
      <w:pPr>
        <w:widowControl w:val="0"/>
        <w:autoSpaceDE w:val="0"/>
        <w:autoSpaceDN w:val="0"/>
        <w:spacing w:after="0" w:line="240" w:lineRule="auto"/>
        <w:jc w:val="center"/>
        <w:rPr>
          <w:rFonts w:ascii="Times New Roman" w:eastAsia="Times New Roman" w:hAnsi="Times New Roman" w:cs="Times New Roman"/>
          <w:sz w:val="17"/>
          <w:szCs w:val="17"/>
        </w:rPr>
      </w:pPr>
    </w:p>
    <w:p w14:paraId="54B6D5C5" w14:textId="0A5AB2E5" w:rsidR="00EC6CD3" w:rsidRPr="0070357C" w:rsidRDefault="00EC6CD3" w:rsidP="0070357C">
      <w:pPr>
        <w:widowControl w:val="0"/>
        <w:autoSpaceDE w:val="0"/>
        <w:autoSpaceDN w:val="0"/>
        <w:spacing w:after="0" w:line="240" w:lineRule="auto"/>
        <w:jc w:val="center"/>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 xml:space="preserve">Fig. 1. Conceptual pathway linking environmental cues, honey bee </w:t>
      </w:r>
      <w:proofErr w:type="spellStart"/>
      <w:r w:rsidRPr="0070357C">
        <w:rPr>
          <w:rFonts w:ascii="Times New Roman" w:eastAsia="Times New Roman" w:hAnsi="Times New Roman" w:cs="Times New Roman"/>
          <w:b/>
          <w:bCs/>
          <w:sz w:val="17"/>
          <w:szCs w:val="17"/>
        </w:rPr>
        <w:t>behaviour</w:t>
      </w:r>
      <w:proofErr w:type="spellEnd"/>
      <w:r w:rsidRPr="0070357C">
        <w:rPr>
          <w:rFonts w:ascii="Times New Roman" w:eastAsia="Times New Roman" w:hAnsi="Times New Roman" w:cs="Times New Roman"/>
          <w:b/>
          <w:bCs/>
          <w:sz w:val="17"/>
          <w:szCs w:val="17"/>
        </w:rPr>
        <w:t xml:space="preserve">, colony </w:t>
      </w:r>
      <w:proofErr w:type="spellStart"/>
      <w:r w:rsidRPr="0070357C">
        <w:rPr>
          <w:rFonts w:ascii="Times New Roman" w:eastAsia="Times New Roman" w:hAnsi="Times New Roman" w:cs="Times New Roman"/>
          <w:b/>
          <w:bCs/>
          <w:sz w:val="17"/>
          <w:szCs w:val="17"/>
        </w:rPr>
        <w:t>organisation</w:t>
      </w:r>
      <w:proofErr w:type="spellEnd"/>
      <w:r w:rsidRPr="0070357C">
        <w:rPr>
          <w:rFonts w:ascii="Times New Roman" w:eastAsia="Times New Roman" w:hAnsi="Times New Roman" w:cs="Times New Roman"/>
          <w:b/>
          <w:bCs/>
          <w:sz w:val="17"/>
          <w:szCs w:val="17"/>
        </w:rPr>
        <w:t xml:space="preserve"> and colony-level outcomes</w:t>
      </w:r>
    </w:p>
    <w:p w14:paraId="24806A9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lastRenderedPageBreak/>
        <w:t xml:space="preserve">Brood rearing depends on the availability of food, suitable temperature and worker care. Nectar provides carbohydrates, while pollen is the principal natural source of protein and also supplies lipids, vitamins, minerals and other compounds. Nurse workers process and distribute food to developing larvae, linking floral resources to colony growth. The importance of diet diversity is increasingly </w:t>
      </w:r>
      <w:proofErr w:type="spellStart"/>
      <w:r w:rsidRPr="0070357C">
        <w:rPr>
          <w:rFonts w:ascii="Times New Roman" w:eastAsia="Times New Roman" w:hAnsi="Times New Roman" w:cs="Times New Roman"/>
          <w:sz w:val="17"/>
          <w:szCs w:val="17"/>
        </w:rPr>
        <w:t>recognised</w:t>
      </w:r>
      <w:proofErr w:type="spellEnd"/>
      <w:r w:rsidRPr="0070357C">
        <w:rPr>
          <w:rFonts w:ascii="Times New Roman" w:eastAsia="Times New Roman" w:hAnsi="Times New Roman" w:cs="Times New Roman"/>
          <w:sz w:val="17"/>
          <w:szCs w:val="17"/>
        </w:rPr>
        <w:t xml:space="preserve"> because colonies surrounded by species-poor agricultural landscapes may experience nutritional constraints even when a large quantity of a single floral resource is available (</w:t>
      </w:r>
      <w:proofErr w:type="spellStart"/>
      <w:r w:rsidRPr="0070357C">
        <w:rPr>
          <w:rFonts w:ascii="Times New Roman" w:eastAsia="Times New Roman" w:hAnsi="Times New Roman" w:cs="Times New Roman"/>
          <w:sz w:val="17"/>
          <w:szCs w:val="17"/>
        </w:rPr>
        <w:t>DeGrandi</w:t>
      </w:r>
      <w:proofErr w:type="spellEnd"/>
      <w:r w:rsidRPr="0070357C">
        <w:rPr>
          <w:rFonts w:ascii="Times New Roman" w:eastAsia="Times New Roman" w:hAnsi="Times New Roman" w:cs="Times New Roman"/>
          <w:sz w:val="17"/>
          <w:szCs w:val="17"/>
        </w:rPr>
        <w:t xml:space="preserve">-Hoffman &amp; Chen, 2015; </w:t>
      </w:r>
      <w:proofErr w:type="spellStart"/>
      <w:r w:rsidRPr="0070357C">
        <w:rPr>
          <w:rFonts w:ascii="Times New Roman" w:eastAsia="Times New Roman" w:hAnsi="Times New Roman" w:cs="Times New Roman"/>
          <w:sz w:val="17"/>
          <w:szCs w:val="17"/>
        </w:rPr>
        <w:t>Alaux</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2010).</w:t>
      </w:r>
    </w:p>
    <w:p w14:paraId="4B2809C3"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D8687AF"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colony also maintains a regulated nest environment. Workers ventilate, heat or cool brood areas and remove debris. Social </w:t>
      </w:r>
      <w:proofErr w:type="spellStart"/>
      <w:r w:rsidRPr="0070357C">
        <w:rPr>
          <w:rFonts w:ascii="Times New Roman" w:eastAsia="Times New Roman" w:hAnsi="Times New Roman" w:cs="Times New Roman"/>
          <w:sz w:val="17"/>
          <w:szCs w:val="17"/>
        </w:rPr>
        <w:t>behaviours</w:t>
      </w:r>
      <w:proofErr w:type="spellEnd"/>
      <w:r w:rsidRPr="0070357C">
        <w:rPr>
          <w:rFonts w:ascii="Times New Roman" w:eastAsia="Times New Roman" w:hAnsi="Times New Roman" w:cs="Times New Roman"/>
          <w:sz w:val="17"/>
          <w:szCs w:val="17"/>
        </w:rPr>
        <w:t xml:space="preserve"> can suppress disease transmission through hygienic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grooming and food-related barriers. Thus, colony health cannot be inferred from individual survival alone.</w:t>
      </w:r>
    </w:p>
    <w:p w14:paraId="74CA10A8"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29EA9E3" w14:textId="33CA19AC"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Fig</w:t>
      </w:r>
      <w:r w:rsidR="00EC6CD3" w:rsidRPr="0070357C">
        <w:rPr>
          <w:rFonts w:ascii="Times New Roman" w:eastAsia="Times New Roman" w:hAnsi="Times New Roman" w:cs="Times New Roman"/>
          <w:sz w:val="17"/>
          <w:szCs w:val="17"/>
        </w:rPr>
        <w:t>.</w:t>
      </w:r>
      <w:r w:rsidRPr="0070357C">
        <w:rPr>
          <w:rFonts w:ascii="Times New Roman" w:eastAsia="Times New Roman" w:hAnsi="Times New Roman" w:cs="Times New Roman"/>
          <w:sz w:val="17"/>
          <w:szCs w:val="17"/>
        </w:rPr>
        <w:t xml:space="preserve"> 1 </w:t>
      </w:r>
      <w:proofErr w:type="spellStart"/>
      <w:r w:rsidRPr="0070357C">
        <w:rPr>
          <w:rFonts w:ascii="Times New Roman" w:eastAsia="Times New Roman" w:hAnsi="Times New Roman" w:cs="Times New Roman"/>
          <w:sz w:val="17"/>
          <w:szCs w:val="17"/>
        </w:rPr>
        <w:t>summarises</w:t>
      </w:r>
      <w:proofErr w:type="spellEnd"/>
      <w:r w:rsidRPr="0070357C">
        <w:rPr>
          <w:rFonts w:ascii="Times New Roman" w:eastAsia="Times New Roman" w:hAnsi="Times New Roman" w:cs="Times New Roman"/>
          <w:sz w:val="17"/>
          <w:szCs w:val="17"/>
        </w:rPr>
        <w:t xml:space="preserve"> the relationship between environmental information, worker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colony </w:t>
      </w:r>
      <w:proofErr w:type="spellStart"/>
      <w:r w:rsidRPr="0070357C">
        <w:rPr>
          <w:rFonts w:ascii="Times New Roman" w:eastAsia="Times New Roman" w:hAnsi="Times New Roman" w:cs="Times New Roman"/>
          <w:sz w:val="17"/>
          <w:szCs w:val="17"/>
        </w:rPr>
        <w:t>organisation</w:t>
      </w:r>
      <w:proofErr w:type="spellEnd"/>
      <w:r w:rsidRPr="0070357C">
        <w:rPr>
          <w:rFonts w:ascii="Times New Roman" w:eastAsia="Times New Roman" w:hAnsi="Times New Roman" w:cs="Times New Roman"/>
          <w:sz w:val="17"/>
          <w:szCs w:val="17"/>
        </w:rPr>
        <w:t xml:space="preserve"> and colony outcomes. It illustrates why changes in floral resources, temperature, pesticides or disease pressure can be translated into altered foraging and colony performance.</w:t>
      </w:r>
    </w:p>
    <w:p w14:paraId="75C704A0"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F096C74" w14:textId="0B20DD2C" w:rsidR="0083750D" w:rsidRPr="0070357C" w:rsidRDefault="00FF68A3" w:rsidP="0070357C">
      <w:pPr>
        <w:pStyle w:val="Heading3"/>
        <w:rPr>
          <w:rFonts w:eastAsia="Arial MT" w:cs="Times New Roman"/>
        </w:rPr>
      </w:pPr>
      <w:r w:rsidRPr="0070357C">
        <w:rPr>
          <w:rFonts w:eastAsia="Arial MT" w:cs="Times New Roman"/>
        </w:rPr>
        <w:t>5.</w:t>
      </w:r>
      <w:r w:rsidR="00EC6CD3" w:rsidRPr="0070357C">
        <w:rPr>
          <w:rFonts w:eastAsia="Arial MT" w:cs="Times New Roman"/>
        </w:rPr>
        <w:t xml:space="preserve"> </w:t>
      </w:r>
      <w:r w:rsidR="0083750D" w:rsidRPr="0070357C">
        <w:rPr>
          <w:rFonts w:eastAsia="Arial MT" w:cs="Times New Roman"/>
        </w:rPr>
        <w:t xml:space="preserve">Honey Bee </w:t>
      </w:r>
      <w:proofErr w:type="spellStart"/>
      <w:r w:rsidR="0083750D" w:rsidRPr="0070357C">
        <w:rPr>
          <w:rFonts w:eastAsia="Arial MT" w:cs="Times New Roman"/>
        </w:rPr>
        <w:t>Behaviour</w:t>
      </w:r>
      <w:proofErr w:type="spellEnd"/>
      <w:r w:rsidR="0083750D" w:rsidRPr="0070357C">
        <w:rPr>
          <w:rFonts w:eastAsia="Arial MT" w:cs="Times New Roman"/>
        </w:rPr>
        <w:t>, Communication and Foraging</w:t>
      </w:r>
    </w:p>
    <w:p w14:paraId="011B3548" w14:textId="77777777" w:rsidR="00EC6CD3" w:rsidRPr="0070357C" w:rsidRDefault="00EC6CD3" w:rsidP="0070357C">
      <w:pPr>
        <w:widowControl w:val="0"/>
        <w:tabs>
          <w:tab w:val="left" w:pos="525"/>
        </w:tabs>
        <w:autoSpaceDE w:val="0"/>
        <w:autoSpaceDN w:val="0"/>
        <w:spacing w:after="0" w:line="240" w:lineRule="auto"/>
        <w:jc w:val="both"/>
        <w:outlineLvl w:val="0"/>
        <w:rPr>
          <w:rFonts w:ascii="Times New Roman" w:eastAsia="Arial MT" w:hAnsi="Times New Roman" w:cs="Times New Roman"/>
          <w:sz w:val="17"/>
          <w:szCs w:val="17"/>
        </w:rPr>
      </w:pPr>
    </w:p>
    <w:p w14:paraId="5792819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Honey bee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combines individual sensory abilities with colony-level information exchange. Foragers use visual and olfactory cues to locate flowers and can communicate profitable food locations through movement and recruitment </w:t>
      </w:r>
      <w:proofErr w:type="spellStart"/>
      <w:r w:rsidRPr="0070357C">
        <w:rPr>
          <w:rFonts w:ascii="Times New Roman" w:eastAsia="Times New Roman" w:hAnsi="Times New Roman" w:cs="Times New Roman"/>
          <w:sz w:val="17"/>
          <w:szCs w:val="17"/>
        </w:rPr>
        <w:t>behaviours</w:t>
      </w:r>
      <w:proofErr w:type="spellEnd"/>
      <w:r w:rsidRPr="0070357C">
        <w:rPr>
          <w:rFonts w:ascii="Times New Roman" w:eastAsia="Times New Roman" w:hAnsi="Times New Roman" w:cs="Times New Roman"/>
          <w:sz w:val="17"/>
          <w:szCs w:val="17"/>
        </w:rPr>
        <w:t>. Navigation integrates landmarks, solar information and learned spatial cues, allowing workers to return to the nest and revisit resource patches.</w:t>
      </w:r>
    </w:p>
    <w:p w14:paraId="63EB7C40"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A819961"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Foraging is influenced by temperature, light, wind, rainfall, floral density and nectar quality. Indian work on litchi demonstrated that several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species were important flower visitors and that foraging</w:t>
      </w:r>
      <w:r w:rsidRPr="0070357C">
        <w:rPr>
          <w:rFonts w:ascii="Times New Roman" w:eastAsia="Times New Roman" w:hAnsi="Times New Roman" w:cs="Times New Roman"/>
          <w:sz w:val="17"/>
          <w:szCs w:val="17"/>
        </w:rPr>
        <w:t xml:space="preserve"> activity varied with environmental variables including temperature and light conditions (Srivastava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2017). Such evidence </w:t>
      </w:r>
      <w:proofErr w:type="spellStart"/>
      <w:r w:rsidRPr="0070357C">
        <w:rPr>
          <w:rFonts w:ascii="Times New Roman" w:eastAsia="Times New Roman" w:hAnsi="Times New Roman" w:cs="Times New Roman"/>
          <w:sz w:val="17"/>
          <w:szCs w:val="17"/>
        </w:rPr>
        <w:t>emphasises</w:t>
      </w:r>
      <w:proofErr w:type="spellEnd"/>
      <w:r w:rsidRPr="0070357C">
        <w:rPr>
          <w:rFonts w:ascii="Times New Roman" w:eastAsia="Times New Roman" w:hAnsi="Times New Roman" w:cs="Times New Roman"/>
          <w:sz w:val="17"/>
          <w:szCs w:val="17"/>
        </w:rPr>
        <w:t xml:space="preserve"> that pollination efficiency is not simply a property of the bee; it is produced by interactions among bee species, plant phenology and weather.</w:t>
      </w:r>
    </w:p>
    <w:p w14:paraId="1A34041B" w14:textId="77777777" w:rsidR="00EC6CD3" w:rsidRPr="0070357C" w:rsidRDefault="00EC6CD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8E5E1D3" w14:textId="77777777" w:rsidR="0083750D" w:rsidRPr="0070357C" w:rsidRDefault="0083750D" w:rsidP="0070357C">
      <w:pPr>
        <w:widowControl w:val="0"/>
        <w:tabs>
          <w:tab w:val="left" w:pos="8910"/>
        </w:tabs>
        <w:autoSpaceDE w:val="0"/>
        <w:autoSpaceDN w:val="0"/>
        <w:spacing w:after="0" w:line="240" w:lineRule="auto"/>
        <w:jc w:val="both"/>
        <w:rPr>
          <w:rFonts w:ascii="Times New Roman" w:eastAsia="Times New Roman" w:hAnsi="Times New Roman" w:cs="Times New Roman"/>
          <w:iCs/>
          <w:sz w:val="17"/>
          <w:szCs w:val="17"/>
        </w:rPr>
      </w:pPr>
      <w:r w:rsidRPr="0070357C">
        <w:rPr>
          <w:rFonts w:ascii="Times New Roman" w:eastAsia="Times New Roman" w:hAnsi="Times New Roman" w:cs="Times New Roman"/>
          <w:sz w:val="17"/>
          <w:szCs w:val="17"/>
        </w:rPr>
        <w:t xml:space="preserve">Honey bee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is also sensitive to pesticides. Sublethal exposure can alter activity, learning, orientation or foraging even when immediate mortality is low. A 2023 systematic review noted that mortality has historically received more attention than sublethal </w:t>
      </w:r>
      <w:proofErr w:type="spellStart"/>
      <w:r w:rsidRPr="0070357C">
        <w:rPr>
          <w:rFonts w:ascii="Times New Roman" w:eastAsia="Times New Roman" w:hAnsi="Times New Roman" w:cs="Times New Roman"/>
          <w:sz w:val="17"/>
          <w:szCs w:val="17"/>
        </w:rPr>
        <w:t>behavioural</w:t>
      </w:r>
      <w:proofErr w:type="spellEnd"/>
      <w:r w:rsidRPr="0070357C">
        <w:rPr>
          <w:rFonts w:ascii="Times New Roman" w:eastAsia="Times New Roman" w:hAnsi="Times New Roman" w:cs="Times New Roman"/>
          <w:sz w:val="17"/>
          <w:szCs w:val="17"/>
        </w:rPr>
        <w:t xml:space="preserve"> outcomes and highlighted major research gaps concerning combined stressors (</w:t>
      </w:r>
      <w:proofErr w:type="spellStart"/>
      <w:r w:rsidRPr="0070357C">
        <w:rPr>
          <w:rFonts w:ascii="Times New Roman" w:eastAsia="Times New Roman" w:hAnsi="Times New Roman" w:cs="Times New Roman"/>
          <w:sz w:val="17"/>
          <w:szCs w:val="17"/>
        </w:rPr>
        <w:t>Dirilgen</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2023; Thompson, 2003). Indian experiments have likewise documented pesticide-related effects on </w:t>
      </w:r>
      <w:r w:rsidRPr="0070357C">
        <w:rPr>
          <w:rFonts w:ascii="Times New Roman" w:eastAsia="Times New Roman" w:hAnsi="Times New Roman" w:cs="Times New Roman"/>
          <w:i/>
          <w:sz w:val="17"/>
          <w:szCs w:val="17"/>
        </w:rPr>
        <w:t xml:space="preserve">A. cerana and A. mellifera </w:t>
      </w:r>
      <w:r w:rsidRPr="0070357C">
        <w:rPr>
          <w:rFonts w:ascii="Times New Roman" w:eastAsia="Times New Roman" w:hAnsi="Times New Roman" w:cs="Times New Roman"/>
          <w:iCs/>
          <w:sz w:val="17"/>
          <w:szCs w:val="17"/>
        </w:rPr>
        <w:t xml:space="preserve">under laboratory, semi-field and field conditions (Stanley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iCs/>
          <w:sz w:val="17"/>
          <w:szCs w:val="17"/>
        </w:rPr>
        <w:t>, 2015).</w:t>
      </w:r>
    </w:p>
    <w:p w14:paraId="65A2430A" w14:textId="77777777" w:rsidR="00EC6CD3" w:rsidRPr="0070357C" w:rsidRDefault="00EC6CD3" w:rsidP="0070357C">
      <w:pPr>
        <w:widowControl w:val="0"/>
        <w:tabs>
          <w:tab w:val="left" w:pos="8910"/>
        </w:tabs>
        <w:autoSpaceDE w:val="0"/>
        <w:autoSpaceDN w:val="0"/>
        <w:spacing w:after="0" w:line="240" w:lineRule="auto"/>
        <w:jc w:val="both"/>
        <w:rPr>
          <w:rFonts w:ascii="Times New Roman" w:eastAsia="Times New Roman" w:hAnsi="Times New Roman" w:cs="Times New Roman"/>
          <w:sz w:val="17"/>
          <w:szCs w:val="17"/>
        </w:rPr>
      </w:pPr>
    </w:p>
    <w:p w14:paraId="36152F5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is therefore an important bridge between toxicology and colony ecology. Monitoring flight activity, returning foragers, pollen collection, orientation and time spent outside the hive can provide early warning of environmental stress.</w:t>
      </w:r>
    </w:p>
    <w:p w14:paraId="06EDE7CF"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16DA7C6" w14:textId="61F9CFAE" w:rsidR="0083750D" w:rsidRPr="0070357C" w:rsidRDefault="00FF68A3" w:rsidP="0070357C">
      <w:pPr>
        <w:pStyle w:val="Heading3"/>
        <w:rPr>
          <w:rFonts w:eastAsia="Arial MT" w:cs="Times New Roman"/>
        </w:rPr>
      </w:pPr>
      <w:r w:rsidRPr="0070357C">
        <w:rPr>
          <w:rFonts w:eastAsia="Arial MT" w:cs="Times New Roman"/>
        </w:rPr>
        <w:t xml:space="preserve">6. </w:t>
      </w:r>
      <w:r w:rsidR="0083750D" w:rsidRPr="0070357C">
        <w:rPr>
          <w:rFonts w:eastAsia="Arial MT" w:cs="Times New Roman"/>
        </w:rPr>
        <w:t>Pollination Services and Agricultural Importance</w:t>
      </w:r>
    </w:p>
    <w:p w14:paraId="24AF8E12" w14:textId="77777777" w:rsidR="00FF68A3" w:rsidRPr="0070357C" w:rsidRDefault="00FF68A3" w:rsidP="0070357C">
      <w:pPr>
        <w:widowControl w:val="0"/>
        <w:tabs>
          <w:tab w:val="left" w:pos="526"/>
        </w:tabs>
        <w:autoSpaceDE w:val="0"/>
        <w:autoSpaceDN w:val="0"/>
        <w:spacing w:after="0" w:line="240" w:lineRule="auto"/>
        <w:jc w:val="both"/>
        <w:outlineLvl w:val="0"/>
        <w:rPr>
          <w:rFonts w:ascii="Times New Roman" w:eastAsia="Arial MT" w:hAnsi="Times New Roman" w:cs="Times New Roman"/>
          <w:sz w:val="17"/>
          <w:szCs w:val="17"/>
        </w:rPr>
      </w:pPr>
    </w:p>
    <w:p w14:paraId="66CA066F"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Honey bees contribute to pollination when pollen is transferred between flowers during foraging. Their value depends on crop floral biology, bee abundance, visitation frequency, pollen deposition and environmental conditions. Animal pollination contributes to both crop yield and quality, and pollinator-dependent crops can be particularly sensitive to changes in pollinator abundance and landscape quality (Klein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2007; Calderone, 2012; Ollerton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2011).</w:t>
      </w:r>
    </w:p>
    <w:p w14:paraId="188DC417"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F65B04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Indian studies provide direct examples. In litchi,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dorsata, A. mellifera, A. cerana and A. florea were reported among the important pollinators, and foraging activity varied with weather conditions (Srivastava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2017). In cucumber, A. cerana pollination was associated with improved fruit-set and seed-related outcomes compared with non-pollinated controls, demonstrating the practical value of managed bee visitation (Chauhan &amp; Singh, 2022).</w:t>
      </w:r>
    </w:p>
    <w:p w14:paraId="51D93FB4"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B299FCA"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Pollination should not be reduced to honey production. A strong apiary can be an agricultural input where crop pollination is limiting, while wild bees and other insects provide complementary services. Pollination planning should therefore combine managed colonies with conservation of wild pollinator habitat. A national review of Indian pollination research highlighted the need for stronger knowledge of plant–pollinator interactions and greater integration of pollination biology into conservation and sustainable agriculture (Adit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2024).</w:t>
      </w:r>
    </w:p>
    <w:p w14:paraId="06FD5ED7"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6E3E12B" w14:textId="6437C480"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Fig</w:t>
      </w:r>
      <w:r w:rsidR="00FF68A3" w:rsidRPr="0070357C">
        <w:rPr>
          <w:rFonts w:ascii="Times New Roman" w:eastAsia="Times New Roman" w:hAnsi="Times New Roman" w:cs="Times New Roman"/>
          <w:sz w:val="17"/>
          <w:szCs w:val="17"/>
        </w:rPr>
        <w:t>.</w:t>
      </w:r>
      <w:r w:rsidRPr="0070357C">
        <w:rPr>
          <w:rFonts w:ascii="Times New Roman" w:eastAsia="Times New Roman" w:hAnsi="Times New Roman" w:cs="Times New Roman"/>
          <w:sz w:val="17"/>
          <w:szCs w:val="17"/>
        </w:rPr>
        <w:t xml:space="preserve"> 2 presents a simplified pollination pathway from floral resources through bee visitation and pollen transfer to crop fruit and seed production.</w:t>
      </w:r>
    </w:p>
    <w:p w14:paraId="5540750E"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F423831" w14:textId="77777777" w:rsidR="0083750D" w:rsidRPr="0070357C" w:rsidRDefault="0083750D" w:rsidP="0070357C">
      <w:pPr>
        <w:widowControl w:val="0"/>
        <w:autoSpaceDE w:val="0"/>
        <w:autoSpaceDN w:val="0"/>
        <w:spacing w:after="0" w:line="240" w:lineRule="auto"/>
        <w:jc w:val="center"/>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Table 1. Major honey bee species/groups relevant to Indian apiculture and conservation.</w:t>
      </w:r>
    </w:p>
    <w:p w14:paraId="4A727628"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tbl>
      <w:tblPr>
        <w:tblStyle w:val="TableGrid"/>
        <w:tblW w:w="49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350"/>
        <w:gridCol w:w="2700"/>
        <w:gridCol w:w="3734"/>
      </w:tblGrid>
      <w:tr w:rsidR="0083750D" w:rsidRPr="0070357C" w14:paraId="1015DE29" w14:textId="77777777" w:rsidTr="00FF68A3">
        <w:trPr>
          <w:trHeight w:val="20"/>
          <w:jc w:val="center"/>
        </w:trPr>
        <w:tc>
          <w:tcPr>
            <w:tcW w:w="1276" w:type="dxa"/>
          </w:tcPr>
          <w:p w14:paraId="242BCBE0"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Species / group</w:t>
            </w:r>
          </w:p>
        </w:tc>
        <w:tc>
          <w:tcPr>
            <w:tcW w:w="1350" w:type="dxa"/>
          </w:tcPr>
          <w:p w14:paraId="3F392711"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Typical nesting</w:t>
            </w:r>
          </w:p>
        </w:tc>
        <w:tc>
          <w:tcPr>
            <w:tcW w:w="2700" w:type="dxa"/>
          </w:tcPr>
          <w:p w14:paraId="0E9C9716"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Management context</w:t>
            </w:r>
          </w:p>
        </w:tc>
        <w:tc>
          <w:tcPr>
            <w:tcW w:w="3734" w:type="dxa"/>
          </w:tcPr>
          <w:p w14:paraId="285CEDA7"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Major ecological / agricultural relevance</w:t>
            </w:r>
          </w:p>
        </w:tc>
      </w:tr>
      <w:tr w:rsidR="0083750D" w:rsidRPr="0070357C" w14:paraId="01633624" w14:textId="77777777" w:rsidTr="00FF68A3">
        <w:trPr>
          <w:trHeight w:val="20"/>
          <w:jc w:val="center"/>
        </w:trPr>
        <w:tc>
          <w:tcPr>
            <w:tcW w:w="1276" w:type="dxa"/>
          </w:tcPr>
          <w:p w14:paraId="27E373DB"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cerana</w:t>
            </w:r>
          </w:p>
        </w:tc>
        <w:tc>
          <w:tcPr>
            <w:tcW w:w="1350" w:type="dxa"/>
          </w:tcPr>
          <w:p w14:paraId="47953E26"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Cavity nesting</w:t>
            </w:r>
          </w:p>
        </w:tc>
        <w:tc>
          <w:tcPr>
            <w:tcW w:w="2700" w:type="dxa"/>
          </w:tcPr>
          <w:p w14:paraId="437E058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Traditional and managed apiculture</w:t>
            </w:r>
          </w:p>
        </w:tc>
        <w:tc>
          <w:tcPr>
            <w:tcW w:w="3734" w:type="dxa"/>
          </w:tcPr>
          <w:p w14:paraId="54A60D90"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Indigenous Asian honey bee; pollination and honey production</w:t>
            </w:r>
          </w:p>
        </w:tc>
      </w:tr>
      <w:tr w:rsidR="0083750D" w:rsidRPr="0070357C" w14:paraId="726366AB" w14:textId="77777777" w:rsidTr="00FF68A3">
        <w:trPr>
          <w:trHeight w:val="20"/>
          <w:jc w:val="center"/>
        </w:trPr>
        <w:tc>
          <w:tcPr>
            <w:tcW w:w="1276" w:type="dxa"/>
          </w:tcPr>
          <w:p w14:paraId="5620BAF9"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mellifera</w:t>
            </w:r>
          </w:p>
        </w:tc>
        <w:tc>
          <w:tcPr>
            <w:tcW w:w="1350" w:type="dxa"/>
          </w:tcPr>
          <w:p w14:paraId="40B1CFA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Cavity nesting</w:t>
            </w:r>
          </w:p>
        </w:tc>
        <w:tc>
          <w:tcPr>
            <w:tcW w:w="2700" w:type="dxa"/>
          </w:tcPr>
          <w:p w14:paraId="00772B62"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Commercially managed</w:t>
            </w:r>
          </w:p>
        </w:tc>
        <w:tc>
          <w:tcPr>
            <w:tcW w:w="3734" w:type="dxa"/>
          </w:tcPr>
          <w:p w14:paraId="76C8048C"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High-value managed pollinator and honey producer</w:t>
            </w:r>
          </w:p>
        </w:tc>
      </w:tr>
      <w:tr w:rsidR="0083750D" w:rsidRPr="0070357C" w14:paraId="2FCAF7B2" w14:textId="77777777" w:rsidTr="00FF68A3">
        <w:trPr>
          <w:trHeight w:val="20"/>
          <w:jc w:val="center"/>
        </w:trPr>
        <w:tc>
          <w:tcPr>
            <w:tcW w:w="1276" w:type="dxa"/>
          </w:tcPr>
          <w:p w14:paraId="6A66A495"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dorsata</w:t>
            </w:r>
          </w:p>
        </w:tc>
        <w:tc>
          <w:tcPr>
            <w:tcW w:w="1350" w:type="dxa"/>
          </w:tcPr>
          <w:p w14:paraId="7EC4C8B5"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Open nesting</w:t>
            </w:r>
          </w:p>
        </w:tc>
        <w:tc>
          <w:tcPr>
            <w:tcW w:w="2700" w:type="dxa"/>
          </w:tcPr>
          <w:p w14:paraId="5E54CD20"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Predominantly wild</w:t>
            </w:r>
          </w:p>
        </w:tc>
        <w:tc>
          <w:tcPr>
            <w:tcW w:w="3734" w:type="dxa"/>
          </w:tcPr>
          <w:p w14:paraId="764E2AC0"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Important wild pollinator and honey resource</w:t>
            </w:r>
          </w:p>
        </w:tc>
      </w:tr>
      <w:tr w:rsidR="0083750D" w:rsidRPr="0070357C" w14:paraId="409759E2" w14:textId="77777777" w:rsidTr="00FF68A3">
        <w:trPr>
          <w:trHeight w:val="20"/>
          <w:jc w:val="center"/>
        </w:trPr>
        <w:tc>
          <w:tcPr>
            <w:tcW w:w="1276" w:type="dxa"/>
          </w:tcPr>
          <w:p w14:paraId="188D2987"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florea</w:t>
            </w:r>
          </w:p>
        </w:tc>
        <w:tc>
          <w:tcPr>
            <w:tcW w:w="1350" w:type="dxa"/>
          </w:tcPr>
          <w:p w14:paraId="7A7EECEB"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Open nesting</w:t>
            </w:r>
          </w:p>
        </w:tc>
        <w:tc>
          <w:tcPr>
            <w:tcW w:w="2700" w:type="dxa"/>
          </w:tcPr>
          <w:p w14:paraId="7253DB25"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Predominantly wild / local management</w:t>
            </w:r>
          </w:p>
        </w:tc>
        <w:tc>
          <w:tcPr>
            <w:tcW w:w="3734" w:type="dxa"/>
          </w:tcPr>
          <w:p w14:paraId="160B0A50"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Small colonies; pollination and honey resource</w:t>
            </w:r>
          </w:p>
        </w:tc>
      </w:tr>
    </w:tbl>
    <w:p w14:paraId="76604A39" w14:textId="0DB9AF6B" w:rsidR="0083750D" w:rsidRPr="0070357C" w:rsidRDefault="00FF68A3" w:rsidP="0070357C">
      <w:pPr>
        <w:widowControl w:val="0"/>
        <w:autoSpaceDE w:val="0"/>
        <w:autoSpaceDN w:val="0"/>
        <w:spacing w:after="0" w:line="240" w:lineRule="auto"/>
        <w:jc w:val="center"/>
        <w:rPr>
          <w:rFonts w:ascii="Times New Roman" w:eastAsia="Times New Roman" w:hAnsi="Times New Roman" w:cs="Times New Roman"/>
          <w:sz w:val="17"/>
          <w:szCs w:val="17"/>
        </w:rPr>
      </w:pPr>
      <w:r w:rsidRPr="0070357C">
        <w:rPr>
          <w:rFonts w:ascii="Times New Roman" w:hAnsi="Times New Roman" w:cs="Times New Roman"/>
          <w:noProof/>
        </w:rPr>
        <w:lastRenderedPageBreak/>
        <w:drawing>
          <wp:inline distT="0" distB="0" distL="0" distR="0" wp14:anchorId="278B4502" wp14:editId="62748676">
            <wp:extent cx="4268974" cy="2265218"/>
            <wp:effectExtent l="0" t="0" r="0" b="0"/>
            <wp:docPr id="233192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92329" name=""/>
                    <pic:cNvPicPr/>
                  </pic:nvPicPr>
                  <pic:blipFill>
                    <a:blip r:embed="rId11"/>
                    <a:stretch>
                      <a:fillRect/>
                    </a:stretch>
                  </pic:blipFill>
                  <pic:spPr>
                    <a:xfrm>
                      <a:off x="0" y="0"/>
                      <a:ext cx="4282313" cy="2272296"/>
                    </a:xfrm>
                    <a:prstGeom prst="rect">
                      <a:avLst/>
                    </a:prstGeom>
                  </pic:spPr>
                </pic:pic>
              </a:graphicData>
            </a:graphic>
          </wp:inline>
        </w:drawing>
      </w:r>
    </w:p>
    <w:p w14:paraId="670C5933"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CFEAE81" w14:textId="481D35A7" w:rsidR="0083750D" w:rsidRPr="0070357C" w:rsidRDefault="0083750D" w:rsidP="0070357C">
      <w:pPr>
        <w:widowControl w:val="0"/>
        <w:autoSpaceDE w:val="0"/>
        <w:autoSpaceDN w:val="0"/>
        <w:spacing w:after="0" w:line="240" w:lineRule="auto"/>
        <w:jc w:val="center"/>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Fig</w:t>
      </w:r>
      <w:r w:rsidR="00FF68A3" w:rsidRPr="0070357C">
        <w:rPr>
          <w:rFonts w:ascii="Times New Roman" w:eastAsia="Times New Roman" w:hAnsi="Times New Roman" w:cs="Times New Roman"/>
          <w:b/>
          <w:bCs/>
          <w:sz w:val="17"/>
          <w:szCs w:val="17"/>
        </w:rPr>
        <w:t>.</w:t>
      </w:r>
      <w:r w:rsidRPr="0070357C">
        <w:rPr>
          <w:rFonts w:ascii="Times New Roman" w:eastAsia="Times New Roman" w:hAnsi="Times New Roman" w:cs="Times New Roman"/>
          <w:b/>
          <w:bCs/>
          <w:sz w:val="17"/>
          <w:szCs w:val="17"/>
        </w:rPr>
        <w:t xml:space="preserve"> 2. Simplified pathway from floral resources and bee visitation to pollen transfer and agricultural outcomes</w:t>
      </w:r>
    </w:p>
    <w:p w14:paraId="51798CB7"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3F181A14" w14:textId="61BC738F" w:rsidR="0083750D" w:rsidRPr="0070357C" w:rsidRDefault="00FF68A3" w:rsidP="0070357C">
      <w:pPr>
        <w:pStyle w:val="Heading3"/>
        <w:rPr>
          <w:rFonts w:eastAsia="Arial MT" w:cs="Times New Roman"/>
        </w:rPr>
      </w:pPr>
      <w:r w:rsidRPr="0070357C">
        <w:rPr>
          <w:rFonts w:eastAsia="Arial MT" w:cs="Times New Roman"/>
        </w:rPr>
        <w:t xml:space="preserve">7. </w:t>
      </w:r>
      <w:r w:rsidR="0083750D" w:rsidRPr="0070357C">
        <w:rPr>
          <w:rFonts w:eastAsia="Arial MT" w:cs="Times New Roman"/>
        </w:rPr>
        <w:t>Nutrition, Floral Resources and Colony Resilience</w:t>
      </w:r>
    </w:p>
    <w:p w14:paraId="4ED984ED" w14:textId="77777777" w:rsidR="00FF68A3" w:rsidRPr="0070357C" w:rsidRDefault="00FF68A3" w:rsidP="0070357C">
      <w:pPr>
        <w:widowControl w:val="0"/>
        <w:tabs>
          <w:tab w:val="left" w:pos="525"/>
        </w:tabs>
        <w:autoSpaceDE w:val="0"/>
        <w:autoSpaceDN w:val="0"/>
        <w:spacing w:after="0" w:line="240" w:lineRule="auto"/>
        <w:jc w:val="both"/>
        <w:outlineLvl w:val="0"/>
        <w:rPr>
          <w:rFonts w:ascii="Times New Roman" w:eastAsia="Arial MT" w:hAnsi="Times New Roman" w:cs="Times New Roman"/>
          <w:sz w:val="17"/>
          <w:szCs w:val="17"/>
        </w:rPr>
      </w:pPr>
    </w:p>
    <w:p w14:paraId="1AAD43B0"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Nutrition is a central determinant of colony resilience. Nectar supplies carbohydrates needed for flight and metabolism, while pollen supplies proteins, amino acids, lipids, minerals and vitamins required for growth and brood production. Water is also important for thermoregulation and colony maintenance. Nutritional quality depends not only on the quantity of food but on the diversity and composition of floral resources (</w:t>
      </w:r>
      <w:proofErr w:type="spellStart"/>
      <w:r w:rsidRPr="0070357C">
        <w:rPr>
          <w:rFonts w:ascii="Times New Roman" w:eastAsia="Times New Roman" w:hAnsi="Times New Roman" w:cs="Times New Roman"/>
          <w:sz w:val="17"/>
          <w:szCs w:val="17"/>
        </w:rPr>
        <w:t>Alaux</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2010; Khalifa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2021).</w:t>
      </w:r>
    </w:p>
    <w:p w14:paraId="098F5BC7"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40A894A"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Agricultural intensification can create a paradox: mass flowering may temporarily provide abundant nectar, but landscapes dominated by a narrow set of crops can offer long periods of floral scarcity before or after the crop bloom. Nutritional gaps can reduce colony growth and may increase susceptibility to disease or other stressors. Floral strips, hedgerows, native flowering plants and retention of semi-natural habitat can therefore complement apiary management.</w:t>
      </w:r>
    </w:p>
    <w:p w14:paraId="49D0AFE0"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34180E6"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Supplementary feeding can help colonies during resource shortages, but it should not be viewed as a universal substitute for diverse natural forage. Recent nutritional reviews </w:t>
      </w:r>
      <w:proofErr w:type="spellStart"/>
      <w:r w:rsidRPr="0070357C">
        <w:rPr>
          <w:rFonts w:ascii="Times New Roman" w:eastAsia="Times New Roman" w:hAnsi="Times New Roman" w:cs="Times New Roman"/>
          <w:sz w:val="17"/>
          <w:szCs w:val="17"/>
        </w:rPr>
        <w:t>emphasise</w:t>
      </w:r>
      <w:proofErr w:type="spellEnd"/>
      <w:r w:rsidRPr="0070357C">
        <w:rPr>
          <w:rFonts w:ascii="Times New Roman" w:eastAsia="Times New Roman" w:hAnsi="Times New Roman" w:cs="Times New Roman"/>
          <w:sz w:val="17"/>
          <w:szCs w:val="17"/>
        </w:rPr>
        <w:t xml:space="preserve"> that a varied pollen diet is desirable and that long-term nutritional supplementation requires careful evaluation (Ghosh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2025).</w:t>
      </w:r>
    </w:p>
    <w:p w14:paraId="3E45D4ED"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2FAC70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For Indian conditions, floral calendars can be developed at local scales. Such calendars can identify periods of dearth and guide movement of colonies or planting of bee-friendly vegetation. The best approach is landscape-specific because flowering patterns differ among </w:t>
      </w:r>
      <w:proofErr w:type="spellStart"/>
      <w:r w:rsidRPr="0070357C">
        <w:rPr>
          <w:rFonts w:ascii="Times New Roman" w:eastAsia="Times New Roman" w:hAnsi="Times New Roman" w:cs="Times New Roman"/>
          <w:sz w:val="17"/>
          <w:szCs w:val="17"/>
        </w:rPr>
        <w:t>agro</w:t>
      </w:r>
      <w:proofErr w:type="spellEnd"/>
      <w:r w:rsidRPr="0070357C">
        <w:rPr>
          <w:rFonts w:ascii="Times New Roman" w:eastAsia="Times New Roman" w:hAnsi="Times New Roman" w:cs="Times New Roman"/>
          <w:sz w:val="17"/>
          <w:szCs w:val="17"/>
        </w:rPr>
        <w:t>-climatic zones.</w:t>
      </w:r>
    </w:p>
    <w:p w14:paraId="09B33337"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3AC07144" w14:textId="56369AE0" w:rsidR="0083750D" w:rsidRPr="0070357C" w:rsidRDefault="00FF68A3" w:rsidP="0070357C">
      <w:pPr>
        <w:pStyle w:val="Heading3"/>
        <w:rPr>
          <w:rFonts w:eastAsia="Arial MT" w:cs="Times New Roman"/>
        </w:rPr>
      </w:pPr>
      <w:r w:rsidRPr="0070357C">
        <w:rPr>
          <w:rFonts w:eastAsia="Arial MT" w:cs="Times New Roman"/>
        </w:rPr>
        <w:t xml:space="preserve">8. </w:t>
      </w:r>
      <w:r w:rsidR="0083750D" w:rsidRPr="0070357C">
        <w:rPr>
          <w:rFonts w:eastAsia="Arial MT" w:cs="Times New Roman"/>
        </w:rPr>
        <w:t>Pathogens, Parasites and Honey Bee Health</w:t>
      </w:r>
    </w:p>
    <w:p w14:paraId="3CF41448"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1DBEA6B" w14:textId="4437063B"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Honey bee colonies are vulnerable to viruses, bacteria, fungi and ectoparasites. Among the best-studied threats to A. mellifera is Varroa destructor, which damages developing and adult bees and acts as an</w:t>
      </w:r>
      <w:r w:rsidR="00FF68A3"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sz w:val="17"/>
          <w:szCs w:val="17"/>
        </w:rPr>
        <w:t>important vector and amplifier of viral infections. A systematic review identified V. destructor and Nosema/</w:t>
      </w:r>
      <w:proofErr w:type="spellStart"/>
      <w:r w:rsidRPr="0070357C">
        <w:rPr>
          <w:rFonts w:ascii="Times New Roman" w:eastAsia="Times New Roman" w:hAnsi="Times New Roman" w:cs="Times New Roman"/>
          <w:sz w:val="17"/>
          <w:szCs w:val="17"/>
        </w:rPr>
        <w:t>Vairimorpha</w:t>
      </w:r>
      <w:proofErr w:type="spellEnd"/>
      <w:r w:rsidRPr="0070357C">
        <w:rPr>
          <w:rFonts w:ascii="Times New Roman" w:eastAsia="Times New Roman" w:hAnsi="Times New Roman" w:cs="Times New Roman"/>
          <w:sz w:val="17"/>
          <w:szCs w:val="17"/>
        </w:rPr>
        <w:t xml:space="preserve">-related infections among major global health concerns and </w:t>
      </w:r>
      <w:proofErr w:type="spellStart"/>
      <w:r w:rsidRPr="0070357C">
        <w:rPr>
          <w:rFonts w:ascii="Times New Roman" w:eastAsia="Times New Roman" w:hAnsi="Times New Roman" w:cs="Times New Roman"/>
          <w:sz w:val="17"/>
          <w:szCs w:val="17"/>
        </w:rPr>
        <w:t>emphasised</w:t>
      </w:r>
      <w:proofErr w:type="spellEnd"/>
      <w:r w:rsidRPr="0070357C">
        <w:rPr>
          <w:rFonts w:ascii="Times New Roman" w:eastAsia="Times New Roman" w:hAnsi="Times New Roman" w:cs="Times New Roman"/>
          <w:sz w:val="17"/>
          <w:szCs w:val="17"/>
        </w:rPr>
        <w:t xml:space="preserve"> the diversity of infection-management approaches (</w:t>
      </w:r>
      <w:proofErr w:type="spellStart"/>
      <w:r w:rsidRPr="0070357C">
        <w:rPr>
          <w:rFonts w:ascii="Times New Roman" w:eastAsia="Times New Roman" w:hAnsi="Times New Roman" w:cs="Times New Roman"/>
          <w:sz w:val="17"/>
          <w:szCs w:val="17"/>
        </w:rPr>
        <w:t>Nekoei</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2023).</w:t>
      </w:r>
    </w:p>
    <w:p w14:paraId="546A2062"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CBCF5C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Viral disease is especially important because viruses can circulate within and among colonies and their effects may be amplified by parasites and environmental stress. Deformed wing virus and other viruses associated with Varroa are frequently discussed in relation to colony losses (McMenamin &amp; </w:t>
      </w:r>
      <w:proofErr w:type="spellStart"/>
      <w:r w:rsidRPr="0070357C">
        <w:rPr>
          <w:rFonts w:ascii="Times New Roman" w:eastAsia="Times New Roman" w:hAnsi="Times New Roman" w:cs="Times New Roman"/>
          <w:sz w:val="17"/>
          <w:szCs w:val="17"/>
        </w:rPr>
        <w:t>Genersch</w:t>
      </w:r>
      <w:proofErr w:type="spellEnd"/>
      <w:r w:rsidRPr="0070357C">
        <w:rPr>
          <w:rFonts w:ascii="Times New Roman" w:eastAsia="Times New Roman" w:hAnsi="Times New Roman" w:cs="Times New Roman"/>
          <w:sz w:val="17"/>
          <w:szCs w:val="17"/>
        </w:rPr>
        <w:t>, 2015). Good hive hygiene, monitoring, appropriate treatment and biosecurity are therefore central to sustainable beekeeping.</w:t>
      </w:r>
    </w:p>
    <w:p w14:paraId="0CF733C0"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4"/>
          <w:szCs w:val="14"/>
        </w:rPr>
      </w:pPr>
    </w:p>
    <w:p w14:paraId="082E4E4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Bacterial diseases such as American foulbrood and European foulbrood can affect brood and colony productivity. Management should be based on accurate diagnosis and locally appropriate veterinary or apicultural guidance rather than indiscriminate antimicrobial use. Indian studies have explored disease management approaches in A. mellifera colonies, including work on European foulbrood (Ibrahim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2018).</w:t>
      </w:r>
    </w:p>
    <w:p w14:paraId="5D2DDEFE"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4"/>
          <w:szCs w:val="14"/>
        </w:rPr>
      </w:pPr>
    </w:p>
    <w:p w14:paraId="737ECCD7"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Health assessment should combine adult bee numbers, brood pattern, food stores, queen status, visible disease signs, parasite loads and seasonal context. No single indicator is sufficient to describe colony health.</w:t>
      </w:r>
    </w:p>
    <w:p w14:paraId="6285516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4"/>
          <w:szCs w:val="14"/>
        </w:rPr>
      </w:pPr>
    </w:p>
    <w:p w14:paraId="2F90116B" w14:textId="4D555F46" w:rsidR="0083750D" w:rsidRPr="0070357C" w:rsidRDefault="00FF68A3" w:rsidP="0070357C">
      <w:pPr>
        <w:pStyle w:val="Heading3"/>
        <w:rPr>
          <w:rFonts w:eastAsia="Arial MT" w:cs="Times New Roman"/>
        </w:rPr>
      </w:pPr>
      <w:r w:rsidRPr="0070357C">
        <w:rPr>
          <w:rFonts w:eastAsia="Arial MT" w:cs="Times New Roman"/>
        </w:rPr>
        <w:t xml:space="preserve">9. </w:t>
      </w:r>
      <w:r w:rsidR="0083750D" w:rsidRPr="0070357C">
        <w:rPr>
          <w:rFonts w:eastAsia="Arial MT" w:cs="Times New Roman"/>
        </w:rPr>
        <w:t>Honey Bee Gut Microbiota and Immune Function</w:t>
      </w:r>
    </w:p>
    <w:p w14:paraId="327AB99E" w14:textId="77777777" w:rsidR="00FF68A3" w:rsidRPr="0070357C" w:rsidRDefault="00FF68A3" w:rsidP="0070357C">
      <w:pPr>
        <w:widowControl w:val="0"/>
        <w:tabs>
          <w:tab w:val="left" w:pos="525"/>
        </w:tabs>
        <w:autoSpaceDE w:val="0"/>
        <w:autoSpaceDN w:val="0"/>
        <w:spacing w:after="0" w:line="240" w:lineRule="auto"/>
        <w:jc w:val="both"/>
        <w:outlineLvl w:val="0"/>
        <w:rPr>
          <w:rFonts w:ascii="Times New Roman" w:eastAsia="Arial MT" w:hAnsi="Times New Roman" w:cs="Times New Roman"/>
          <w:sz w:val="14"/>
          <w:szCs w:val="14"/>
        </w:rPr>
      </w:pPr>
    </w:p>
    <w:p w14:paraId="44F8F02A"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The honey bee gut microbiota has become an important research area because a relatively small community of host-associated bacterial taxa performs functions relevant to digestion, metabolism, immunity and resistance to pathogens. The microbiota can contribute to processing components of pollen and can influence host gene expression and immune processes (Motta &amp; Moran, 2024).</w:t>
      </w:r>
    </w:p>
    <w:p w14:paraId="1D22613D"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lastRenderedPageBreak/>
        <w:t xml:space="preserve">Honey bee immunity operates at individual and social levels. Individual responses include cellular and humoral mechanisms, while social immunity includes hygienic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grooming and removal of diseased brood. Nutrition interacts with immunity: nutritionally stressed colonies may be less able to mount effective responses, while pathogen and parasite pressure can increase nutritional demand (</w:t>
      </w:r>
      <w:proofErr w:type="spellStart"/>
      <w:r w:rsidRPr="0070357C">
        <w:rPr>
          <w:rFonts w:ascii="Times New Roman" w:eastAsia="Times New Roman" w:hAnsi="Times New Roman" w:cs="Times New Roman"/>
          <w:sz w:val="17"/>
          <w:szCs w:val="17"/>
        </w:rPr>
        <w:t>DeGrandi</w:t>
      </w:r>
      <w:proofErr w:type="spellEnd"/>
      <w:r w:rsidRPr="0070357C">
        <w:rPr>
          <w:rFonts w:ascii="Times New Roman" w:eastAsia="Times New Roman" w:hAnsi="Times New Roman" w:cs="Times New Roman"/>
          <w:sz w:val="17"/>
          <w:szCs w:val="17"/>
        </w:rPr>
        <w:t>-Hoffman &amp; Chen, 2015).</w:t>
      </w:r>
    </w:p>
    <w:p w14:paraId="744DE7C1"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AF91CC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microbiome is also relevant to environmental exposure. Agrochemicals, antibiotics and dietary changes may disturb microbial communities, potentially influencing metabolism,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and pathogen resistance (Motta &amp; Moran, 2024; Abdi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2023; Navarro-Escalante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2025). Recent work on microbiome engineering has explored probiotics, engineered symbionts and other approaches, but most such strategies still require careful field validation and risk assessment before broad application.</w:t>
      </w:r>
    </w:p>
    <w:p w14:paraId="60394E5C"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03A2DF0" w14:textId="796164C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For India, microbiome research could help explain differences among managed species, climatic zones and beekeeping systems. However, evidence from A. mellifera should not automatically be transferred to</w:t>
      </w:r>
      <w:r w:rsidR="00FF68A3"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sz w:val="17"/>
          <w:szCs w:val="17"/>
        </w:rPr>
        <w:t xml:space="preserve">A. cerana or wild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w:t>
      </w:r>
      <w:r w:rsidRPr="0070357C">
        <w:rPr>
          <w:rFonts w:ascii="Times New Roman" w:eastAsia="Times New Roman" w:hAnsi="Times New Roman" w:cs="Times New Roman"/>
          <w:iCs/>
          <w:sz w:val="17"/>
          <w:szCs w:val="17"/>
        </w:rPr>
        <w:t>species without species-specific validation (Motta &amp; Moran, 2024).</w:t>
      </w:r>
    </w:p>
    <w:p w14:paraId="730120E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36F4CFF" w14:textId="1905381D" w:rsidR="0083750D" w:rsidRPr="0070357C" w:rsidRDefault="00FF68A3" w:rsidP="0070357C">
      <w:pPr>
        <w:pStyle w:val="Heading3"/>
        <w:rPr>
          <w:rFonts w:eastAsia="Arial MT" w:cs="Times New Roman"/>
        </w:rPr>
      </w:pPr>
      <w:r w:rsidRPr="0070357C">
        <w:rPr>
          <w:rFonts w:eastAsia="Arial MT" w:cs="Times New Roman"/>
        </w:rPr>
        <w:t xml:space="preserve">10. </w:t>
      </w:r>
      <w:r w:rsidR="0083750D" w:rsidRPr="0070357C">
        <w:rPr>
          <w:rFonts w:eastAsia="Arial MT" w:cs="Times New Roman"/>
        </w:rPr>
        <w:t>Pesticides and Other Agrochemical Stressors</w:t>
      </w:r>
    </w:p>
    <w:p w14:paraId="26959755"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3FE9CC8C"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Pesticide exposure is one of the most extensively studied anthropogenic threats to honey bees. Exposure can occur through contaminated nectar and pollen, direct spray, dust, water, guttation fluids, hive materials and residues transported back to colonies. Acute toxicity may cause mortality, whereas chronic or sublethal exposure may affect feeding, navigation, learning, reproduction, immunity or colony development (Mullin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2010; </w:t>
      </w:r>
      <w:proofErr w:type="spellStart"/>
      <w:r w:rsidRPr="0070357C">
        <w:rPr>
          <w:rFonts w:ascii="Times New Roman" w:eastAsia="Times New Roman" w:hAnsi="Times New Roman" w:cs="Times New Roman"/>
          <w:sz w:val="17"/>
          <w:szCs w:val="17"/>
        </w:rPr>
        <w:t>Dirilgen</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2023; </w:t>
      </w:r>
      <w:proofErr w:type="spellStart"/>
      <w:r w:rsidRPr="0070357C">
        <w:rPr>
          <w:rFonts w:ascii="Times New Roman" w:eastAsia="Times New Roman" w:hAnsi="Times New Roman" w:cs="Times New Roman"/>
          <w:sz w:val="17"/>
          <w:szCs w:val="17"/>
        </w:rPr>
        <w:t>Blacquière</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2012; Zhu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2014).</w:t>
      </w:r>
    </w:p>
    <w:p w14:paraId="2E22DDAC"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76213DD" w14:textId="2F62076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Neonicotinoids have received particular attention because they are systemic and can occur in floral resources. A recent critical review showed that accumulation of neonicotinoids in pollen and nectar varies among plant species and depends on uptake and translocation processes (Zhang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2023). Importantly, pesticide risk should not be evaluated only by single-compound acute mortality. Bees may encounter mixtures and simultaneous nutritional, climatic and pathogen stress.</w:t>
      </w:r>
    </w:p>
    <w:p w14:paraId="41A53FAC"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8A100C5"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i/>
          <w:iCs/>
          <w:sz w:val="17"/>
          <w:szCs w:val="17"/>
        </w:rPr>
      </w:pPr>
      <w:r w:rsidRPr="0070357C">
        <w:rPr>
          <w:rFonts w:ascii="Times New Roman" w:eastAsia="Times New Roman" w:hAnsi="Times New Roman" w:cs="Times New Roman"/>
          <w:sz w:val="17"/>
          <w:szCs w:val="17"/>
        </w:rPr>
        <w:t xml:space="preserve">Indian evidence supports the need for careful exposure assessment. Stanley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(2015) evaluated pesticide toxicity in </w:t>
      </w:r>
      <w:r w:rsidRPr="0070357C">
        <w:rPr>
          <w:rFonts w:ascii="Times New Roman" w:eastAsia="Times New Roman" w:hAnsi="Times New Roman" w:cs="Times New Roman"/>
          <w:i/>
          <w:sz w:val="17"/>
          <w:szCs w:val="17"/>
        </w:rPr>
        <w:t>A. cerana and A. mellifera across laboratory, semi-field and field settings.</w:t>
      </w:r>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Giri et al. (2018) reported effects of thiamethoxam on A. mellifera foraging activity and mortality, while Singh et al. (2023) demonstrated the potential use of A. mellifera as a biological indicator of pesticide pollution. Historical Indian residue studies also detected insecticide residues in honey from managed and wild Apis colonies (Khan et al., 2004).</w:t>
      </w:r>
    </w:p>
    <w:p w14:paraId="3FFD4EFF"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i/>
          <w:iCs/>
          <w:sz w:val="17"/>
          <w:szCs w:val="17"/>
        </w:rPr>
      </w:pPr>
    </w:p>
    <w:p w14:paraId="23A7463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Risk reduction should </w:t>
      </w:r>
      <w:proofErr w:type="spellStart"/>
      <w:r w:rsidRPr="0070357C">
        <w:rPr>
          <w:rFonts w:ascii="Times New Roman" w:eastAsia="Times New Roman" w:hAnsi="Times New Roman" w:cs="Times New Roman"/>
          <w:sz w:val="17"/>
          <w:szCs w:val="17"/>
        </w:rPr>
        <w:t>prioritise</w:t>
      </w:r>
      <w:proofErr w:type="spellEnd"/>
      <w:r w:rsidRPr="0070357C">
        <w:rPr>
          <w:rFonts w:ascii="Times New Roman" w:eastAsia="Times New Roman" w:hAnsi="Times New Roman" w:cs="Times New Roman"/>
          <w:sz w:val="17"/>
          <w:szCs w:val="17"/>
        </w:rPr>
        <w:t xml:space="preserve"> integrated pest management, avoidance of spraying during bee-active flowering periods, selection of less hazardous alternatives where feasible, drift reduction, communication between farmers and beekeepers, and monitoring of residues. Regulatory assessment should increasingly incorporate chronic and </w:t>
      </w:r>
      <w:proofErr w:type="spellStart"/>
      <w:r w:rsidRPr="0070357C">
        <w:rPr>
          <w:rFonts w:ascii="Times New Roman" w:eastAsia="Times New Roman" w:hAnsi="Times New Roman" w:cs="Times New Roman"/>
          <w:sz w:val="17"/>
          <w:szCs w:val="17"/>
        </w:rPr>
        <w:t>behavioural</w:t>
      </w:r>
      <w:proofErr w:type="spellEnd"/>
      <w:r w:rsidRPr="0070357C">
        <w:rPr>
          <w:rFonts w:ascii="Times New Roman" w:eastAsia="Times New Roman" w:hAnsi="Times New Roman" w:cs="Times New Roman"/>
          <w:sz w:val="17"/>
          <w:szCs w:val="17"/>
        </w:rPr>
        <w:t xml:space="preserve"> endpoints alongside acute toxicity.</w:t>
      </w:r>
    </w:p>
    <w:p w14:paraId="633E15E8" w14:textId="5A892CBB" w:rsidR="0083750D" w:rsidRPr="0070357C" w:rsidRDefault="0083750D" w:rsidP="0070357C">
      <w:pPr>
        <w:pStyle w:val="Heading3"/>
        <w:rPr>
          <w:rFonts w:eastAsia="Times New Roman" w:cs="Times New Roman"/>
        </w:rPr>
      </w:pPr>
    </w:p>
    <w:p w14:paraId="5FDB4244" w14:textId="37659FCC" w:rsidR="0083750D" w:rsidRPr="0070357C" w:rsidRDefault="00FF68A3" w:rsidP="0070357C">
      <w:pPr>
        <w:pStyle w:val="Heading3"/>
        <w:rPr>
          <w:rFonts w:eastAsia="Arial MT" w:cs="Times New Roman"/>
        </w:rPr>
      </w:pPr>
      <w:r w:rsidRPr="0070357C">
        <w:rPr>
          <w:rFonts w:eastAsia="Arial MT" w:cs="Times New Roman"/>
        </w:rPr>
        <w:t xml:space="preserve">11. </w:t>
      </w:r>
      <w:r w:rsidR="0083750D" w:rsidRPr="0070357C">
        <w:rPr>
          <w:rFonts w:eastAsia="Arial MT" w:cs="Times New Roman"/>
        </w:rPr>
        <w:t>Climate Change, Habitat Change and Phenological Mismatch</w:t>
      </w:r>
    </w:p>
    <w:p w14:paraId="02873360" w14:textId="77777777" w:rsidR="00FF68A3" w:rsidRPr="0070357C" w:rsidRDefault="00FF68A3" w:rsidP="0070357C">
      <w:pPr>
        <w:widowControl w:val="0"/>
        <w:tabs>
          <w:tab w:val="left" w:pos="636"/>
        </w:tabs>
        <w:autoSpaceDE w:val="0"/>
        <w:autoSpaceDN w:val="0"/>
        <w:spacing w:after="0" w:line="240" w:lineRule="auto"/>
        <w:jc w:val="both"/>
        <w:outlineLvl w:val="0"/>
        <w:rPr>
          <w:rFonts w:ascii="Times New Roman" w:eastAsia="Arial MT" w:hAnsi="Times New Roman" w:cs="Times New Roman"/>
          <w:sz w:val="17"/>
          <w:szCs w:val="17"/>
        </w:rPr>
      </w:pPr>
    </w:p>
    <w:p w14:paraId="798A1480" w14:textId="4937D791"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Climate affects honey bees directly through temperature, rainfall, wind and extreme events and indirectly through flowering phenology, water availability, disease dynamics and landscape productivity. A systematic review of climate-change impacts on honey bees found that temperature, precipitation and wind were among the most frequently studied variables and that many studies reported negative effects on food reserves, plant–pollinator interactions, mortality, gene expression and</w:t>
      </w:r>
      <w:r w:rsidR="00FF68A3"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sz w:val="17"/>
          <w:szCs w:val="17"/>
        </w:rPr>
        <w:t xml:space="preserve">metabolism (Zapata-Hernández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2024).</w:t>
      </w:r>
    </w:p>
    <w:p w14:paraId="39326181"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1415E9F"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Changes in plant phenology can create temporal mismatches. If flowering shifts faster than bee seasonal activity or if the duration of a bloom becomes shorter, colonies may face a narrower foraging window. Climate-driven phenological shifts are well documented in pollinator–plant systems (</w:t>
      </w:r>
      <w:proofErr w:type="spellStart"/>
      <w:r w:rsidRPr="0070357C">
        <w:rPr>
          <w:rFonts w:ascii="Times New Roman" w:eastAsia="Times New Roman" w:hAnsi="Times New Roman" w:cs="Times New Roman"/>
          <w:sz w:val="17"/>
          <w:szCs w:val="17"/>
        </w:rPr>
        <w:t>Bartomeus</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2011). Extreme heat may also increase water collection and thermoregulatory demands, while drought can reduce nectar production.</w:t>
      </w:r>
    </w:p>
    <w:p w14:paraId="3467BA9E"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3D7D7CD"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Habitat fragmentation further modifies risk by reducing continuous floral resources and nesting opportunities (Sánchez-Bayo &amp; </w:t>
      </w:r>
      <w:proofErr w:type="spellStart"/>
      <w:r w:rsidRPr="0070357C">
        <w:rPr>
          <w:rFonts w:ascii="Times New Roman" w:eastAsia="Times New Roman" w:hAnsi="Times New Roman" w:cs="Times New Roman"/>
          <w:sz w:val="17"/>
          <w:szCs w:val="17"/>
        </w:rPr>
        <w:t>Wyckhuys</w:t>
      </w:r>
      <w:proofErr w:type="spellEnd"/>
      <w:r w:rsidRPr="0070357C">
        <w:rPr>
          <w:rFonts w:ascii="Times New Roman" w:eastAsia="Times New Roman" w:hAnsi="Times New Roman" w:cs="Times New Roman"/>
          <w:sz w:val="17"/>
          <w:szCs w:val="17"/>
        </w:rPr>
        <w:t>, 2019). Agricultural landscapes can be made more pollinator-friendly through flowering margins, hedgerows, reduced disturbance of natural vegetation and restoration of diverse flowering plants. Such measures are especially valuable during periods between major crop blooms.</w:t>
      </w:r>
    </w:p>
    <w:p w14:paraId="61A6DC29"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A7E8561"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Climate adaptation in apiculture should therefore be anticipatory. Beekeepers may need locally tailored floral calendars, water availability plans, shade or ventilation management and disease surveillance linked to changing seasons. Conservation planning should preserve landscape heterogeneity rather than relying only on a single crop or a single bee species.</w:t>
      </w:r>
    </w:p>
    <w:p w14:paraId="077A106F" w14:textId="77777777" w:rsidR="0083750D" w:rsidRPr="0070357C" w:rsidRDefault="0083750D"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7B5FDAEE" w14:textId="627E98C0" w:rsidR="0083750D" w:rsidRPr="0070357C" w:rsidRDefault="00FF68A3" w:rsidP="0070357C">
      <w:pPr>
        <w:pStyle w:val="Heading3"/>
        <w:rPr>
          <w:rFonts w:eastAsia="Arial MT" w:cs="Times New Roman"/>
        </w:rPr>
      </w:pPr>
      <w:r w:rsidRPr="0070357C">
        <w:rPr>
          <w:rFonts w:eastAsia="Arial MT" w:cs="Times New Roman"/>
        </w:rPr>
        <w:t xml:space="preserve">12. </w:t>
      </w:r>
      <w:r w:rsidR="0083750D" w:rsidRPr="0070357C">
        <w:rPr>
          <w:rFonts w:eastAsia="Arial MT" w:cs="Times New Roman"/>
        </w:rPr>
        <w:t>Multi-Stressor Interactions and Colony-Level Consequences</w:t>
      </w:r>
    </w:p>
    <w:p w14:paraId="4565669F"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275EE2BC"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Honey bee health is best understood as a multi-stressor problem. A colony may simultaneously experience pesticide residues, parasites, pathogens, poor nutrition, heat stress, habitat loss and management disturbance. The combined effect can differ from the simple sum of individual effects because one stressor may alter the bee's ability to cope with another.</w:t>
      </w:r>
    </w:p>
    <w:p w14:paraId="0A9EE55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156D17F" w14:textId="3E5C209A"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Pesticide exposure, for example, may alter immune or detoxification processes and thereby modify pathogen susceptibility. Varroa can weaken bees and facilitate viral transmission, while poor nutrition may reduce resilience to both chemical and biological stress. </w:t>
      </w:r>
      <w:proofErr w:type="spellStart"/>
      <w:r w:rsidRPr="0070357C">
        <w:rPr>
          <w:rFonts w:ascii="Times New Roman" w:eastAsia="Times New Roman" w:hAnsi="Times New Roman" w:cs="Times New Roman"/>
          <w:sz w:val="17"/>
          <w:szCs w:val="17"/>
        </w:rPr>
        <w:t>Goulson</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(2015) and Woodcock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(2017) </w:t>
      </w:r>
      <w:proofErr w:type="spellStart"/>
      <w:r w:rsidRPr="0070357C">
        <w:rPr>
          <w:rFonts w:ascii="Times New Roman" w:eastAsia="Times New Roman" w:hAnsi="Times New Roman" w:cs="Times New Roman"/>
          <w:sz w:val="17"/>
          <w:szCs w:val="17"/>
        </w:rPr>
        <w:t>emphasised</w:t>
      </w:r>
      <w:proofErr w:type="spellEnd"/>
      <w:r w:rsidRPr="0070357C">
        <w:rPr>
          <w:rFonts w:ascii="Times New Roman" w:eastAsia="Times New Roman" w:hAnsi="Times New Roman" w:cs="Times New Roman"/>
          <w:sz w:val="17"/>
          <w:szCs w:val="17"/>
        </w:rPr>
        <w:t xml:space="preserve"> that parasites, pesticides and floral resource loss can interact. More </w:t>
      </w:r>
      <w:r w:rsidRPr="0070357C">
        <w:rPr>
          <w:rFonts w:ascii="Times New Roman" w:eastAsia="Times New Roman" w:hAnsi="Times New Roman" w:cs="Times New Roman"/>
          <w:sz w:val="17"/>
          <w:szCs w:val="17"/>
        </w:rPr>
        <w:lastRenderedPageBreak/>
        <w:t xml:space="preserve">recent reviews similarly highlight the importance of chronic exposure, mixtures and synergistic interactions rather than isolated laboratory endpoints (Bava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2026b).</w:t>
      </w:r>
    </w:p>
    <w:p w14:paraId="5F02D947"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AAFBB7F" w14:textId="3113F664"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Fig</w:t>
      </w:r>
      <w:r w:rsidR="0070357C" w:rsidRPr="0070357C">
        <w:rPr>
          <w:rFonts w:ascii="Times New Roman" w:eastAsia="Times New Roman" w:hAnsi="Times New Roman" w:cs="Times New Roman"/>
          <w:sz w:val="17"/>
          <w:szCs w:val="17"/>
        </w:rPr>
        <w:t>.</w:t>
      </w:r>
      <w:r w:rsidRPr="0070357C">
        <w:rPr>
          <w:rFonts w:ascii="Times New Roman" w:eastAsia="Times New Roman" w:hAnsi="Times New Roman" w:cs="Times New Roman"/>
          <w:sz w:val="17"/>
          <w:szCs w:val="17"/>
        </w:rPr>
        <w:t xml:space="preserve"> 3 presents a conceptual multi-stressor framework. The central point is that colony resilience is an emergent property. Management can reduce some pressures but cannot remove every environmental stressor. Consequently, conservation should seek to increase resilience by improving nutrition, disease control, habitat quality and environmental safety simultaneously.</w:t>
      </w:r>
    </w:p>
    <w:p w14:paraId="16F80601"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2B8C01D"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For research, multi-stressor experiments should be carefully designed to avoid unrealistic combinations or doses. Field-realistic exposure, colony-level endpoints and longitudinal monitoring are particularly valuable. The same principle applies to risk assessment: a pesticide that appears safe under one endpoint may still contribute to colony stress when combined with disease or nutritional limitation.</w:t>
      </w:r>
    </w:p>
    <w:p w14:paraId="0D10FB78"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4AF1597" w14:textId="77777777" w:rsidR="0083750D" w:rsidRPr="0070357C" w:rsidRDefault="0083750D" w:rsidP="0070357C">
      <w:pPr>
        <w:widowControl w:val="0"/>
        <w:autoSpaceDE w:val="0"/>
        <w:autoSpaceDN w:val="0"/>
        <w:spacing w:after="0" w:line="240" w:lineRule="auto"/>
        <w:jc w:val="center"/>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Table 2. Major stressors affecting honey bee colonies and broad management responses.</w:t>
      </w:r>
    </w:p>
    <w:p w14:paraId="2BDC21C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tbl>
      <w:tblPr>
        <w:tblStyle w:val="TableGrid"/>
        <w:tblW w:w="49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16"/>
        <w:gridCol w:w="2520"/>
        <w:gridCol w:w="2250"/>
        <w:gridCol w:w="2474"/>
      </w:tblGrid>
      <w:tr w:rsidR="0083750D" w:rsidRPr="0070357C" w14:paraId="09CF7C38" w14:textId="77777777" w:rsidTr="00FF68A3">
        <w:trPr>
          <w:trHeight w:val="20"/>
          <w:jc w:val="center"/>
        </w:trPr>
        <w:tc>
          <w:tcPr>
            <w:tcW w:w="1816" w:type="dxa"/>
          </w:tcPr>
          <w:p w14:paraId="370822DD"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Stress factor</w:t>
            </w:r>
          </w:p>
        </w:tc>
        <w:tc>
          <w:tcPr>
            <w:tcW w:w="2520" w:type="dxa"/>
          </w:tcPr>
          <w:p w14:paraId="4E2E36C6"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Primary exposure / mechanism</w:t>
            </w:r>
          </w:p>
        </w:tc>
        <w:tc>
          <w:tcPr>
            <w:tcW w:w="2250" w:type="dxa"/>
          </w:tcPr>
          <w:p w14:paraId="5DF83680"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Potential outcome</w:t>
            </w:r>
          </w:p>
        </w:tc>
        <w:tc>
          <w:tcPr>
            <w:tcW w:w="2474" w:type="dxa"/>
          </w:tcPr>
          <w:p w14:paraId="164FADE9"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Priority response</w:t>
            </w:r>
          </w:p>
        </w:tc>
      </w:tr>
      <w:tr w:rsidR="0083750D" w:rsidRPr="0070357C" w14:paraId="4D6D101A" w14:textId="77777777" w:rsidTr="00FF68A3">
        <w:trPr>
          <w:trHeight w:val="20"/>
          <w:jc w:val="center"/>
        </w:trPr>
        <w:tc>
          <w:tcPr>
            <w:tcW w:w="1816" w:type="dxa"/>
          </w:tcPr>
          <w:p w14:paraId="77DD2923"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Pesticides</w:t>
            </w:r>
          </w:p>
        </w:tc>
        <w:tc>
          <w:tcPr>
            <w:tcW w:w="2520" w:type="dxa"/>
          </w:tcPr>
          <w:p w14:paraId="7A8017C7"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Nectar, pollen, spray, dust, water</w:t>
            </w:r>
          </w:p>
        </w:tc>
        <w:tc>
          <w:tcPr>
            <w:tcW w:w="2250" w:type="dxa"/>
          </w:tcPr>
          <w:p w14:paraId="1F1D1512"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Mortality; altered foraging, learning, immunity</w:t>
            </w:r>
          </w:p>
        </w:tc>
        <w:tc>
          <w:tcPr>
            <w:tcW w:w="2474" w:type="dxa"/>
          </w:tcPr>
          <w:p w14:paraId="39BE1D0B"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IPM; exposure timing; risk assessment</w:t>
            </w:r>
          </w:p>
        </w:tc>
      </w:tr>
      <w:tr w:rsidR="0083750D" w:rsidRPr="0070357C" w14:paraId="408A78D4" w14:textId="77777777" w:rsidTr="00FF68A3">
        <w:trPr>
          <w:trHeight w:val="20"/>
          <w:jc w:val="center"/>
        </w:trPr>
        <w:tc>
          <w:tcPr>
            <w:tcW w:w="1816" w:type="dxa"/>
          </w:tcPr>
          <w:p w14:paraId="6C0F9EDE"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Parasites</w:t>
            </w:r>
          </w:p>
        </w:tc>
        <w:tc>
          <w:tcPr>
            <w:tcW w:w="2520" w:type="dxa"/>
          </w:tcPr>
          <w:p w14:paraId="2E4E9A4B"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Direct feeding; pathogen transmission</w:t>
            </w:r>
          </w:p>
        </w:tc>
        <w:tc>
          <w:tcPr>
            <w:tcW w:w="2250" w:type="dxa"/>
          </w:tcPr>
          <w:p w14:paraId="1881FB9A"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Reduced fitness; viral amplification</w:t>
            </w:r>
          </w:p>
        </w:tc>
        <w:tc>
          <w:tcPr>
            <w:tcW w:w="2474" w:type="dxa"/>
          </w:tcPr>
          <w:p w14:paraId="4D9DF9F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Monitoring; evidence-based control</w:t>
            </w:r>
          </w:p>
        </w:tc>
      </w:tr>
      <w:tr w:rsidR="0083750D" w:rsidRPr="0070357C" w14:paraId="4763200D" w14:textId="77777777" w:rsidTr="00FF68A3">
        <w:trPr>
          <w:trHeight w:val="20"/>
          <w:jc w:val="center"/>
        </w:trPr>
        <w:tc>
          <w:tcPr>
            <w:tcW w:w="1816" w:type="dxa"/>
          </w:tcPr>
          <w:p w14:paraId="1B4A3489"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Pathogens</w:t>
            </w:r>
          </w:p>
        </w:tc>
        <w:tc>
          <w:tcPr>
            <w:tcW w:w="2520" w:type="dxa"/>
          </w:tcPr>
          <w:p w14:paraId="08CE253E"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Colony contact, food, vectors</w:t>
            </w:r>
          </w:p>
        </w:tc>
        <w:tc>
          <w:tcPr>
            <w:tcW w:w="2250" w:type="dxa"/>
          </w:tcPr>
          <w:p w14:paraId="67777B36"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Brood/ adult disease; colony weakening</w:t>
            </w:r>
          </w:p>
        </w:tc>
        <w:tc>
          <w:tcPr>
            <w:tcW w:w="2474" w:type="dxa"/>
          </w:tcPr>
          <w:p w14:paraId="6DBEAF97"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Diagnosis; hygiene; biosecurity</w:t>
            </w:r>
          </w:p>
        </w:tc>
      </w:tr>
      <w:tr w:rsidR="0083750D" w:rsidRPr="0070357C" w14:paraId="7CF862DE" w14:textId="77777777" w:rsidTr="00FF68A3">
        <w:trPr>
          <w:trHeight w:val="20"/>
          <w:jc w:val="center"/>
        </w:trPr>
        <w:tc>
          <w:tcPr>
            <w:tcW w:w="1816" w:type="dxa"/>
          </w:tcPr>
          <w:p w14:paraId="40D177A7"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Poor nutrition</w:t>
            </w:r>
          </w:p>
        </w:tc>
        <w:tc>
          <w:tcPr>
            <w:tcW w:w="2520" w:type="dxa"/>
          </w:tcPr>
          <w:p w14:paraId="3EE80ED8"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Low floral diversity or dearth</w:t>
            </w:r>
          </w:p>
        </w:tc>
        <w:tc>
          <w:tcPr>
            <w:tcW w:w="2250" w:type="dxa"/>
          </w:tcPr>
          <w:p w14:paraId="678E51C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Reduced brood production and resilience</w:t>
            </w:r>
          </w:p>
        </w:tc>
        <w:tc>
          <w:tcPr>
            <w:tcW w:w="2474" w:type="dxa"/>
          </w:tcPr>
          <w:p w14:paraId="59E3386C"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Diverse forage; seasonal planning</w:t>
            </w:r>
          </w:p>
        </w:tc>
      </w:tr>
      <w:tr w:rsidR="0083750D" w:rsidRPr="0070357C" w14:paraId="14B66D80" w14:textId="77777777" w:rsidTr="00FF68A3">
        <w:trPr>
          <w:trHeight w:val="20"/>
          <w:jc w:val="center"/>
        </w:trPr>
        <w:tc>
          <w:tcPr>
            <w:tcW w:w="1816" w:type="dxa"/>
          </w:tcPr>
          <w:p w14:paraId="5FF5E478"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Climate extremes</w:t>
            </w:r>
          </w:p>
        </w:tc>
        <w:tc>
          <w:tcPr>
            <w:tcW w:w="2520" w:type="dxa"/>
          </w:tcPr>
          <w:p w14:paraId="774AB95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Heat, drought, rainfall, wind</w:t>
            </w:r>
          </w:p>
        </w:tc>
        <w:tc>
          <w:tcPr>
            <w:tcW w:w="2250" w:type="dxa"/>
          </w:tcPr>
          <w:p w14:paraId="08B43D95"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Reduced foraging; phenological shifts</w:t>
            </w:r>
          </w:p>
        </w:tc>
        <w:tc>
          <w:tcPr>
            <w:tcW w:w="2474" w:type="dxa"/>
          </w:tcPr>
          <w:p w14:paraId="05AB3900"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Water, shade/ventilation, floral planning</w:t>
            </w:r>
          </w:p>
        </w:tc>
      </w:tr>
      <w:tr w:rsidR="0083750D" w:rsidRPr="0070357C" w14:paraId="6EA6A8A0" w14:textId="77777777" w:rsidTr="00FF68A3">
        <w:trPr>
          <w:trHeight w:val="20"/>
          <w:jc w:val="center"/>
        </w:trPr>
        <w:tc>
          <w:tcPr>
            <w:tcW w:w="1816" w:type="dxa"/>
          </w:tcPr>
          <w:p w14:paraId="35937954"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Habitat simplification</w:t>
            </w:r>
          </w:p>
        </w:tc>
        <w:tc>
          <w:tcPr>
            <w:tcW w:w="2520" w:type="dxa"/>
          </w:tcPr>
          <w:p w14:paraId="75A25D56"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Loss of nesting and floral resources</w:t>
            </w:r>
          </w:p>
        </w:tc>
        <w:tc>
          <w:tcPr>
            <w:tcW w:w="2250" w:type="dxa"/>
          </w:tcPr>
          <w:p w14:paraId="70E3939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Reduced carrying capacity</w:t>
            </w:r>
          </w:p>
        </w:tc>
        <w:tc>
          <w:tcPr>
            <w:tcW w:w="2474" w:type="dxa"/>
          </w:tcPr>
          <w:p w14:paraId="65A10E18"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Habitat restoration and protection</w:t>
            </w:r>
          </w:p>
        </w:tc>
      </w:tr>
    </w:tbl>
    <w:p w14:paraId="0CD18DAF" w14:textId="0FC2DA65" w:rsidR="0083750D" w:rsidRPr="0070357C" w:rsidRDefault="0083750D" w:rsidP="0070357C">
      <w:pPr>
        <w:widowControl w:val="0"/>
        <w:tabs>
          <w:tab w:val="left" w:pos="5400"/>
        </w:tabs>
        <w:autoSpaceDE w:val="0"/>
        <w:autoSpaceDN w:val="0"/>
        <w:spacing w:after="0" w:line="240" w:lineRule="auto"/>
        <w:jc w:val="both"/>
        <w:rPr>
          <w:rFonts w:ascii="Times New Roman" w:eastAsia="Times New Roman" w:hAnsi="Times New Roman" w:cs="Times New Roman"/>
          <w:sz w:val="17"/>
          <w:szCs w:val="17"/>
        </w:rPr>
      </w:pPr>
    </w:p>
    <w:p w14:paraId="75B79055" w14:textId="09772C14" w:rsidR="00FF68A3" w:rsidRPr="0070357C" w:rsidRDefault="00FF68A3" w:rsidP="0070357C">
      <w:pPr>
        <w:widowControl w:val="0"/>
        <w:autoSpaceDE w:val="0"/>
        <w:autoSpaceDN w:val="0"/>
        <w:spacing w:after="0" w:line="240" w:lineRule="auto"/>
        <w:jc w:val="center"/>
        <w:rPr>
          <w:rFonts w:ascii="Times New Roman" w:eastAsia="Times New Roman" w:hAnsi="Times New Roman" w:cs="Times New Roman"/>
          <w:noProof/>
          <w:sz w:val="17"/>
          <w:szCs w:val="17"/>
        </w:rPr>
      </w:pPr>
      <w:r w:rsidRPr="0070357C">
        <w:rPr>
          <w:rFonts w:ascii="Times New Roman" w:hAnsi="Times New Roman" w:cs="Times New Roman"/>
          <w:noProof/>
        </w:rPr>
        <w:drawing>
          <wp:inline distT="0" distB="0" distL="0" distR="0" wp14:anchorId="3BE29EC8" wp14:editId="6E7A6279">
            <wp:extent cx="4291898" cy="2915989"/>
            <wp:effectExtent l="0" t="0" r="0" b="0"/>
            <wp:docPr id="100198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5047" name=""/>
                    <pic:cNvPicPr/>
                  </pic:nvPicPr>
                  <pic:blipFill>
                    <a:blip r:embed="rId12"/>
                    <a:stretch>
                      <a:fillRect/>
                    </a:stretch>
                  </pic:blipFill>
                  <pic:spPr>
                    <a:xfrm>
                      <a:off x="0" y="0"/>
                      <a:ext cx="4309635" cy="2928040"/>
                    </a:xfrm>
                    <a:prstGeom prst="rect">
                      <a:avLst/>
                    </a:prstGeom>
                  </pic:spPr>
                </pic:pic>
              </a:graphicData>
            </a:graphic>
          </wp:inline>
        </w:drawing>
      </w:r>
    </w:p>
    <w:p w14:paraId="23F99DA4"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noProof/>
          <w:sz w:val="17"/>
          <w:szCs w:val="17"/>
        </w:rPr>
      </w:pPr>
    </w:p>
    <w:p w14:paraId="35CFDAC3" w14:textId="79BDC934" w:rsidR="0083750D" w:rsidRPr="0070357C" w:rsidRDefault="0083750D" w:rsidP="0070357C">
      <w:pPr>
        <w:widowControl w:val="0"/>
        <w:autoSpaceDE w:val="0"/>
        <w:autoSpaceDN w:val="0"/>
        <w:spacing w:after="0" w:line="240" w:lineRule="auto"/>
        <w:jc w:val="center"/>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Fig</w:t>
      </w:r>
      <w:r w:rsidR="00FF68A3" w:rsidRPr="0070357C">
        <w:rPr>
          <w:rFonts w:ascii="Times New Roman" w:eastAsia="Times New Roman" w:hAnsi="Times New Roman" w:cs="Times New Roman"/>
          <w:b/>
          <w:bCs/>
          <w:sz w:val="17"/>
          <w:szCs w:val="17"/>
        </w:rPr>
        <w:t>.</w:t>
      </w:r>
      <w:r w:rsidRPr="0070357C">
        <w:rPr>
          <w:rFonts w:ascii="Times New Roman" w:eastAsia="Times New Roman" w:hAnsi="Times New Roman" w:cs="Times New Roman"/>
          <w:b/>
          <w:bCs/>
          <w:sz w:val="17"/>
          <w:szCs w:val="17"/>
        </w:rPr>
        <w:t xml:space="preserve"> 3. Conceptual multi-stressor framework for honey bee colony health and resilience.</w:t>
      </w:r>
    </w:p>
    <w:p w14:paraId="0208412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1B87EF7" w14:textId="0F3EBDAE" w:rsidR="0083750D" w:rsidRPr="0070357C" w:rsidRDefault="00FF68A3" w:rsidP="0070357C">
      <w:pPr>
        <w:pStyle w:val="Heading3"/>
        <w:rPr>
          <w:rFonts w:eastAsia="Arial MT" w:cs="Times New Roman"/>
        </w:rPr>
      </w:pPr>
      <w:r w:rsidRPr="0070357C">
        <w:rPr>
          <w:rFonts w:eastAsia="Arial MT" w:cs="Times New Roman"/>
        </w:rPr>
        <w:t xml:space="preserve">13. </w:t>
      </w:r>
      <w:r w:rsidR="0083750D" w:rsidRPr="0070357C">
        <w:rPr>
          <w:rFonts w:eastAsia="Arial MT" w:cs="Times New Roman"/>
        </w:rPr>
        <w:t>Sustainable Beekeeping and Conservation Strategies</w:t>
      </w:r>
    </w:p>
    <w:p w14:paraId="523F8AED"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6DEB7EA1"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Sustainable apiculture should combine productivity with pollinator health and landscape stewardship. First, colonies should be maintained at appropriate stocking densities relative to local forage. Excessive concentration of managed colonies can intensify competition for floral resources and may affect interactions with wild pollinators, especially in resource-limited landscapes.</w:t>
      </w:r>
    </w:p>
    <w:p w14:paraId="04D456FA"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E65E078"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Second, disease surveillance should be routine. Colonies should be inspected for parasites and brood disease, and movement of colonies should follow appropriate biosecurity procedures. Replacement of indiscriminate antimicrobial use with diagnosis-based management can reduce residues and selection for resistance.</w:t>
      </w:r>
    </w:p>
    <w:p w14:paraId="0AEB7521" w14:textId="77777777" w:rsidR="0070357C" w:rsidRPr="0070357C" w:rsidRDefault="0070357C"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56150B5"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iCs/>
          <w:sz w:val="17"/>
          <w:szCs w:val="17"/>
        </w:rPr>
      </w:pPr>
      <w:r w:rsidRPr="0070357C">
        <w:rPr>
          <w:rFonts w:ascii="Times New Roman" w:eastAsia="Times New Roman" w:hAnsi="Times New Roman" w:cs="Times New Roman"/>
          <w:sz w:val="17"/>
          <w:szCs w:val="17"/>
        </w:rPr>
        <w:t xml:space="preserve">Third, floral resources should be managed across seasons. Planting or retaining diverse flowering species can reduce dearth periods and improve nutritional balance. Urban and peri-urban beekeeping can also be supported where pesticide exposure and forage </w:t>
      </w:r>
      <w:r w:rsidRPr="0070357C">
        <w:rPr>
          <w:rFonts w:ascii="Times New Roman" w:eastAsia="Times New Roman" w:hAnsi="Times New Roman" w:cs="Times New Roman"/>
          <w:sz w:val="17"/>
          <w:szCs w:val="17"/>
        </w:rPr>
        <w:lastRenderedPageBreak/>
        <w:t xml:space="preserve">conditions are appropriate; </w:t>
      </w:r>
      <w:r w:rsidRPr="0070357C">
        <w:rPr>
          <w:rFonts w:ascii="Times New Roman" w:eastAsia="Times New Roman" w:hAnsi="Times New Roman" w:cs="Times New Roman"/>
          <w:i/>
          <w:sz w:val="17"/>
          <w:szCs w:val="17"/>
        </w:rPr>
        <w:t xml:space="preserve">A. cerana </w:t>
      </w:r>
      <w:r w:rsidRPr="0070357C">
        <w:rPr>
          <w:rFonts w:ascii="Times New Roman" w:eastAsia="Times New Roman" w:hAnsi="Times New Roman" w:cs="Times New Roman"/>
          <w:iCs/>
          <w:sz w:val="17"/>
          <w:szCs w:val="17"/>
        </w:rPr>
        <w:t xml:space="preserve">has been discussed as a potential species for urban beekeeping in Bengaluru (Vijayakumar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iCs/>
          <w:sz w:val="17"/>
          <w:szCs w:val="17"/>
        </w:rPr>
        <w:t>, 2023).</w:t>
      </w:r>
    </w:p>
    <w:p w14:paraId="28276D3F"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21620600"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Fourth, pesticide management must involve farmers and beekeepers together. Communication before spraying, integrated pest management and protection of flowering vegetation can reduce exposure. The evidence base increasingly supports moving beyond acute mortality toward </w:t>
      </w:r>
      <w:proofErr w:type="spellStart"/>
      <w:r w:rsidRPr="0070357C">
        <w:rPr>
          <w:rFonts w:ascii="Times New Roman" w:eastAsia="Times New Roman" w:hAnsi="Times New Roman" w:cs="Times New Roman"/>
          <w:sz w:val="17"/>
          <w:szCs w:val="17"/>
        </w:rPr>
        <w:t>behavioural</w:t>
      </w:r>
      <w:proofErr w:type="spellEnd"/>
      <w:r w:rsidRPr="0070357C">
        <w:rPr>
          <w:rFonts w:ascii="Times New Roman" w:eastAsia="Times New Roman" w:hAnsi="Times New Roman" w:cs="Times New Roman"/>
          <w:sz w:val="17"/>
          <w:szCs w:val="17"/>
        </w:rPr>
        <w:t xml:space="preserve"> and colony-level risk assessment (</w:t>
      </w:r>
      <w:proofErr w:type="spellStart"/>
      <w:r w:rsidRPr="0070357C">
        <w:rPr>
          <w:rFonts w:ascii="Times New Roman" w:eastAsia="Times New Roman" w:hAnsi="Times New Roman" w:cs="Times New Roman"/>
          <w:sz w:val="17"/>
          <w:szCs w:val="17"/>
        </w:rPr>
        <w:t>Dirilgen</w:t>
      </w:r>
      <w:proofErr w:type="spellEnd"/>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2023; Bava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2026b).</w:t>
      </w:r>
    </w:p>
    <w:p w14:paraId="34C27E3B"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88CE41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Finally, conservation should </w:t>
      </w:r>
      <w:proofErr w:type="spellStart"/>
      <w:r w:rsidRPr="0070357C">
        <w:rPr>
          <w:rFonts w:ascii="Times New Roman" w:eastAsia="Times New Roman" w:hAnsi="Times New Roman" w:cs="Times New Roman"/>
          <w:sz w:val="17"/>
          <w:szCs w:val="17"/>
        </w:rPr>
        <w:t>recognise</w:t>
      </w:r>
      <w:proofErr w:type="spellEnd"/>
      <w:r w:rsidRPr="0070357C">
        <w:rPr>
          <w:rFonts w:ascii="Times New Roman" w:eastAsia="Times New Roman" w:hAnsi="Times New Roman" w:cs="Times New Roman"/>
          <w:sz w:val="17"/>
          <w:szCs w:val="17"/>
        </w:rPr>
        <w:t xml:space="preserve"> wild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species. Protection of nesting sites, natural </w:t>
      </w:r>
      <w:r w:rsidRPr="0070357C">
        <w:rPr>
          <w:rFonts w:ascii="Times New Roman" w:eastAsia="Times New Roman" w:hAnsi="Times New Roman" w:cs="Times New Roman"/>
          <w:sz w:val="17"/>
          <w:szCs w:val="17"/>
        </w:rPr>
        <w:t>vegetation and flowering resources can benefit wild honey bees and other pollinators. Managed A. mellifera colonies should complement, not replace, broader pollinator conservation.</w:t>
      </w:r>
    </w:p>
    <w:p w14:paraId="2BA9BBC4"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7E8F21D5" w14:textId="0226C5A4" w:rsidR="0083750D" w:rsidRPr="0070357C" w:rsidRDefault="00FF68A3" w:rsidP="0070357C">
      <w:pPr>
        <w:pStyle w:val="Heading3"/>
        <w:rPr>
          <w:rFonts w:eastAsia="Arial MT" w:cs="Times New Roman"/>
        </w:rPr>
      </w:pPr>
      <w:r w:rsidRPr="0070357C">
        <w:rPr>
          <w:rFonts w:eastAsia="Arial MT" w:cs="Times New Roman"/>
        </w:rPr>
        <w:t xml:space="preserve">14. </w:t>
      </w:r>
      <w:r w:rsidR="0083750D" w:rsidRPr="0070357C">
        <w:rPr>
          <w:rFonts w:eastAsia="Arial MT" w:cs="Times New Roman"/>
        </w:rPr>
        <w:t>Indian Perspective: Opportunities and Research Gaps</w:t>
      </w:r>
    </w:p>
    <w:p w14:paraId="55CCF21B"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5411EA1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India has substantial potential for integrated honey bee research because its </w:t>
      </w:r>
      <w:proofErr w:type="spellStart"/>
      <w:r w:rsidRPr="0070357C">
        <w:rPr>
          <w:rFonts w:ascii="Times New Roman" w:eastAsia="Times New Roman" w:hAnsi="Times New Roman" w:cs="Times New Roman"/>
          <w:sz w:val="17"/>
          <w:szCs w:val="17"/>
        </w:rPr>
        <w:t>agro</w:t>
      </w:r>
      <w:proofErr w:type="spellEnd"/>
      <w:r w:rsidRPr="0070357C">
        <w:rPr>
          <w:rFonts w:ascii="Times New Roman" w:eastAsia="Times New Roman" w:hAnsi="Times New Roman" w:cs="Times New Roman"/>
          <w:sz w:val="17"/>
          <w:szCs w:val="17"/>
        </w:rPr>
        <w:t xml:space="preserve">-climatic diversity creates natural variation in floral resources, temperature, crop systems and beekeeping practices. Yet, national evidence remains uneven. A recent assessment of Indian beekeeping identified strong opportunities for diversification, better disease control, mapping of bee subspecies and improved stakeholder awareness (Ghosh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xml:space="preserve">, 2025). A national review of pollination research similarly identified gaps in knowledge and the need for stronger investment in plant–pollinator biology (Adit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2024).</w:t>
      </w:r>
    </w:p>
    <w:p w14:paraId="7C14500F"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E4DEB4A"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Future Indian research should place greater emphasis on </w:t>
      </w:r>
      <w:proofErr w:type="spellStart"/>
      <w:r w:rsidRPr="0070357C">
        <w:rPr>
          <w:rFonts w:ascii="Times New Roman" w:eastAsia="Times New Roman" w:hAnsi="Times New Roman" w:cs="Times New Roman"/>
          <w:sz w:val="17"/>
          <w:szCs w:val="17"/>
        </w:rPr>
        <w:t>standardised</w:t>
      </w:r>
      <w:proofErr w:type="spellEnd"/>
      <w:r w:rsidRPr="0070357C">
        <w:rPr>
          <w:rFonts w:ascii="Times New Roman" w:eastAsia="Times New Roman" w:hAnsi="Times New Roman" w:cs="Times New Roman"/>
          <w:sz w:val="17"/>
          <w:szCs w:val="17"/>
        </w:rPr>
        <w:t xml:space="preserve"> colony-health indicators. Studies should report colony strength, brood area, queen status, food stores, parasite load, pesticide exposure and seasonal context using comparable definitions. This would make results more useful across states and </w:t>
      </w:r>
      <w:proofErr w:type="spellStart"/>
      <w:r w:rsidRPr="0070357C">
        <w:rPr>
          <w:rFonts w:ascii="Times New Roman" w:eastAsia="Times New Roman" w:hAnsi="Times New Roman" w:cs="Times New Roman"/>
          <w:sz w:val="17"/>
          <w:szCs w:val="17"/>
        </w:rPr>
        <w:t>agro</w:t>
      </w:r>
      <w:proofErr w:type="spellEnd"/>
      <w:r w:rsidRPr="0070357C">
        <w:rPr>
          <w:rFonts w:ascii="Times New Roman" w:eastAsia="Times New Roman" w:hAnsi="Times New Roman" w:cs="Times New Roman"/>
          <w:sz w:val="17"/>
          <w:szCs w:val="17"/>
        </w:rPr>
        <w:t>-climatic regions.</w:t>
      </w:r>
    </w:p>
    <w:p w14:paraId="4D022BDE"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E48508C"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A second priority is species-specific research. Much of the global mechanistic literature concerns </w:t>
      </w:r>
      <w:r w:rsidRPr="0070357C">
        <w:rPr>
          <w:rFonts w:ascii="Times New Roman" w:eastAsia="Times New Roman" w:hAnsi="Times New Roman" w:cs="Times New Roman"/>
          <w:i/>
          <w:sz w:val="17"/>
          <w:szCs w:val="17"/>
        </w:rPr>
        <w:t xml:space="preserve">A. mellifera, whereas A. cerana and wild Indian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species remain less studied for chronic </w:t>
      </w:r>
      <w:r w:rsidRPr="0070357C">
        <w:rPr>
          <w:rFonts w:ascii="Times New Roman" w:eastAsia="Times New Roman" w:hAnsi="Times New Roman" w:cs="Times New Roman"/>
          <w:sz w:val="17"/>
          <w:szCs w:val="17"/>
        </w:rPr>
        <w:t xml:space="preserve">pesticide exposure, microbiome responses and climate resilience. The current evidence base should therefore be expanded rather than </w:t>
      </w:r>
      <w:proofErr w:type="spellStart"/>
      <w:r w:rsidRPr="0070357C">
        <w:rPr>
          <w:rFonts w:ascii="Times New Roman" w:eastAsia="Times New Roman" w:hAnsi="Times New Roman" w:cs="Times New Roman"/>
          <w:sz w:val="17"/>
          <w:szCs w:val="17"/>
        </w:rPr>
        <w:t>generalised</w:t>
      </w:r>
      <w:proofErr w:type="spellEnd"/>
      <w:r w:rsidRPr="0070357C">
        <w:rPr>
          <w:rFonts w:ascii="Times New Roman" w:eastAsia="Times New Roman" w:hAnsi="Times New Roman" w:cs="Times New Roman"/>
          <w:sz w:val="17"/>
          <w:szCs w:val="17"/>
        </w:rPr>
        <w:t>.</w:t>
      </w:r>
    </w:p>
    <w:p w14:paraId="4AA2B2BB"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746DC75"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A third priority is landscape-scale monitoring. Pollination benefits depend on the matrix of crops, semi-natural vegetation, water and pesticide exposure. Remote sensing, GIS, automated hive monitoring and molecular diagnostics can help connect colony-level observations to landscape drivers.</w:t>
      </w:r>
    </w:p>
    <w:p w14:paraId="0E456E1D"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48446ED"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Finally, Indian policy can benefit from stronger coordination among beekeepers, farmers, agricultural extension services, conservation agencies and researchers. The goal should be a pollinator-friendly agricultural system in which honey production, crop productivity and biodiversity conservation are mutually reinforcing.</w:t>
      </w:r>
    </w:p>
    <w:p w14:paraId="71A1C471"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5FA14CA" w14:textId="1055E5D4" w:rsidR="0083750D" w:rsidRPr="0070357C" w:rsidRDefault="00FF68A3" w:rsidP="0070357C">
      <w:pPr>
        <w:pStyle w:val="Heading3"/>
        <w:rPr>
          <w:rFonts w:eastAsia="Arial MT" w:cs="Times New Roman"/>
        </w:rPr>
      </w:pPr>
      <w:r w:rsidRPr="0070357C">
        <w:rPr>
          <w:rFonts w:eastAsia="Arial MT" w:cs="Times New Roman"/>
        </w:rPr>
        <w:t xml:space="preserve">15. </w:t>
      </w:r>
      <w:r w:rsidR="0083750D" w:rsidRPr="0070357C">
        <w:rPr>
          <w:rFonts w:eastAsia="Arial MT" w:cs="Times New Roman"/>
        </w:rPr>
        <w:t>Research Methods for Honey Bee Field and Colony Studies</w:t>
      </w:r>
    </w:p>
    <w:p w14:paraId="03E7BA6D"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45FC7F65"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Reliable honey bee research requires clear operational definitions and </w:t>
      </w:r>
      <w:proofErr w:type="spellStart"/>
      <w:r w:rsidRPr="0070357C">
        <w:rPr>
          <w:rFonts w:ascii="Times New Roman" w:eastAsia="Times New Roman" w:hAnsi="Times New Roman" w:cs="Times New Roman"/>
          <w:sz w:val="17"/>
          <w:szCs w:val="17"/>
        </w:rPr>
        <w:t>standardised</w:t>
      </w:r>
      <w:proofErr w:type="spellEnd"/>
      <w:r w:rsidRPr="0070357C">
        <w:rPr>
          <w:rFonts w:ascii="Times New Roman" w:eastAsia="Times New Roman" w:hAnsi="Times New Roman" w:cs="Times New Roman"/>
          <w:sz w:val="17"/>
          <w:szCs w:val="17"/>
        </w:rPr>
        <w:t xml:space="preserve"> observation. A colony-level study should define the sampling unit, observation period, colony selection criteria, environmental variables and endpoints before data collection. Important variables include adult bee population estimates, brood area, food stores, foraging activity, pollen collection, mortality, disease signs and pesticide exposure.</w:t>
      </w:r>
    </w:p>
    <w:p w14:paraId="2CC9F640"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4"/>
          <w:szCs w:val="14"/>
        </w:rPr>
      </w:pPr>
    </w:p>
    <w:p w14:paraId="02B022C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Foraging can be assessed through </w:t>
      </w:r>
      <w:proofErr w:type="spellStart"/>
      <w:r w:rsidRPr="0070357C">
        <w:rPr>
          <w:rFonts w:ascii="Times New Roman" w:eastAsia="Times New Roman" w:hAnsi="Times New Roman" w:cs="Times New Roman"/>
          <w:sz w:val="17"/>
          <w:szCs w:val="17"/>
        </w:rPr>
        <w:t>standardised</w:t>
      </w:r>
      <w:proofErr w:type="spellEnd"/>
      <w:r w:rsidRPr="0070357C">
        <w:rPr>
          <w:rFonts w:ascii="Times New Roman" w:eastAsia="Times New Roman" w:hAnsi="Times New Roman" w:cs="Times New Roman"/>
          <w:sz w:val="17"/>
          <w:szCs w:val="17"/>
        </w:rPr>
        <w:t xml:space="preserve"> entrance counts, pollen-trap data where appropriate, video monitoring or automated hive sensors. </w:t>
      </w:r>
      <w:proofErr w:type="spellStart"/>
      <w:r w:rsidRPr="0070357C">
        <w:rPr>
          <w:rFonts w:ascii="Times New Roman" w:eastAsia="Times New Roman" w:hAnsi="Times New Roman" w:cs="Times New Roman"/>
          <w:sz w:val="17"/>
          <w:szCs w:val="17"/>
        </w:rPr>
        <w:t>Behavioural</w:t>
      </w:r>
      <w:proofErr w:type="spellEnd"/>
      <w:r w:rsidRPr="0070357C">
        <w:rPr>
          <w:rFonts w:ascii="Times New Roman" w:eastAsia="Times New Roman" w:hAnsi="Times New Roman" w:cs="Times New Roman"/>
          <w:sz w:val="17"/>
          <w:szCs w:val="17"/>
        </w:rPr>
        <w:t xml:space="preserve"> studies can use focal observations or repeated colony-level measures. Repeated observations from the same colony are not independent and should be </w:t>
      </w:r>
      <w:proofErr w:type="spellStart"/>
      <w:r w:rsidRPr="0070357C">
        <w:rPr>
          <w:rFonts w:ascii="Times New Roman" w:eastAsia="Times New Roman" w:hAnsi="Times New Roman" w:cs="Times New Roman"/>
          <w:sz w:val="17"/>
          <w:szCs w:val="17"/>
        </w:rPr>
        <w:t>analysed</w:t>
      </w:r>
      <w:proofErr w:type="spellEnd"/>
      <w:r w:rsidRPr="0070357C">
        <w:rPr>
          <w:rFonts w:ascii="Times New Roman" w:eastAsia="Times New Roman" w:hAnsi="Times New Roman" w:cs="Times New Roman"/>
          <w:sz w:val="17"/>
          <w:szCs w:val="17"/>
        </w:rPr>
        <w:t xml:space="preserve"> using suitable longitudinal or mixed-effects approaches.</w:t>
      </w:r>
    </w:p>
    <w:p w14:paraId="130C7270"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4"/>
          <w:szCs w:val="14"/>
        </w:rPr>
      </w:pPr>
    </w:p>
    <w:p w14:paraId="0F9F3F53" w14:textId="5F8EEF4E" w:rsidR="0083750D" w:rsidRPr="0070357C" w:rsidRDefault="0083750D" w:rsidP="0070357C">
      <w:pPr>
        <w:widowControl w:val="0"/>
        <w:autoSpaceDE w:val="0"/>
        <w:autoSpaceDN w:val="0"/>
        <w:spacing w:after="0" w:line="240" w:lineRule="auto"/>
        <w:jc w:val="center"/>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Table 3. Recommended indicators and approaches for honey bee field and colony studies</w:t>
      </w:r>
    </w:p>
    <w:p w14:paraId="6B4D116A"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4"/>
          <w:szCs w:val="14"/>
        </w:rPr>
      </w:pPr>
    </w:p>
    <w:tbl>
      <w:tblPr>
        <w:tblStyle w:val="TableGrid"/>
        <w:tblW w:w="49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46"/>
        <w:gridCol w:w="3600"/>
        <w:gridCol w:w="3914"/>
      </w:tblGrid>
      <w:tr w:rsidR="0083750D" w:rsidRPr="0070357C" w14:paraId="0B87780F" w14:textId="77777777" w:rsidTr="00FF68A3">
        <w:trPr>
          <w:trHeight w:val="20"/>
          <w:jc w:val="center"/>
        </w:trPr>
        <w:tc>
          <w:tcPr>
            <w:tcW w:w="1546" w:type="dxa"/>
          </w:tcPr>
          <w:p w14:paraId="06A20D8B"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Research domain</w:t>
            </w:r>
          </w:p>
        </w:tc>
        <w:tc>
          <w:tcPr>
            <w:tcW w:w="3600" w:type="dxa"/>
          </w:tcPr>
          <w:p w14:paraId="11EE2EB1"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Useful indicators</w:t>
            </w:r>
          </w:p>
        </w:tc>
        <w:tc>
          <w:tcPr>
            <w:tcW w:w="3914" w:type="dxa"/>
          </w:tcPr>
          <w:p w14:paraId="798201AE" w14:textId="77777777" w:rsidR="0083750D" w:rsidRPr="0070357C" w:rsidRDefault="0083750D" w:rsidP="0070357C">
            <w:pPr>
              <w:widowControl w:val="0"/>
              <w:autoSpaceDE w:val="0"/>
              <w:autoSpaceDN w:val="0"/>
              <w:rPr>
                <w:rFonts w:ascii="Times New Roman" w:eastAsia="Times New Roman" w:hAnsi="Times New Roman" w:cs="Times New Roman"/>
                <w:b/>
                <w:bCs/>
                <w:sz w:val="17"/>
                <w:szCs w:val="17"/>
              </w:rPr>
            </w:pPr>
            <w:r w:rsidRPr="0070357C">
              <w:rPr>
                <w:rFonts w:ascii="Times New Roman" w:eastAsia="Times New Roman" w:hAnsi="Times New Roman" w:cs="Times New Roman"/>
                <w:b/>
                <w:bCs/>
                <w:sz w:val="17"/>
                <w:szCs w:val="17"/>
              </w:rPr>
              <w:t>Recommended approach</w:t>
            </w:r>
          </w:p>
        </w:tc>
      </w:tr>
      <w:tr w:rsidR="0083750D" w:rsidRPr="0070357C" w14:paraId="61C3DB13" w14:textId="77777777" w:rsidTr="00FF68A3">
        <w:trPr>
          <w:trHeight w:val="20"/>
          <w:jc w:val="center"/>
        </w:trPr>
        <w:tc>
          <w:tcPr>
            <w:tcW w:w="1546" w:type="dxa"/>
          </w:tcPr>
          <w:p w14:paraId="67159710"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Colony strength</w:t>
            </w:r>
          </w:p>
        </w:tc>
        <w:tc>
          <w:tcPr>
            <w:tcW w:w="3600" w:type="dxa"/>
          </w:tcPr>
          <w:p w14:paraId="425122D2"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Adult bees, brood area, queen status</w:t>
            </w:r>
          </w:p>
        </w:tc>
        <w:tc>
          <w:tcPr>
            <w:tcW w:w="3914" w:type="dxa"/>
          </w:tcPr>
          <w:p w14:paraId="3DB19C3E"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Repeated standardized colony assessments</w:t>
            </w:r>
          </w:p>
        </w:tc>
      </w:tr>
      <w:tr w:rsidR="0083750D" w:rsidRPr="0070357C" w14:paraId="5FFF2363" w14:textId="77777777" w:rsidTr="00FF68A3">
        <w:trPr>
          <w:trHeight w:val="20"/>
          <w:jc w:val="center"/>
        </w:trPr>
        <w:tc>
          <w:tcPr>
            <w:tcW w:w="1546" w:type="dxa"/>
          </w:tcPr>
          <w:p w14:paraId="31B85EF7"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Foraging</w:t>
            </w:r>
          </w:p>
        </w:tc>
        <w:tc>
          <w:tcPr>
            <w:tcW w:w="3600" w:type="dxa"/>
          </w:tcPr>
          <w:p w14:paraId="091FF543"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Entrance activity, pollen collection, trip duration</w:t>
            </w:r>
          </w:p>
        </w:tc>
        <w:tc>
          <w:tcPr>
            <w:tcW w:w="3914" w:type="dxa"/>
          </w:tcPr>
          <w:p w14:paraId="2A10C26A"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Time-standardized observation or automated monitoring</w:t>
            </w:r>
          </w:p>
        </w:tc>
      </w:tr>
      <w:tr w:rsidR="0083750D" w:rsidRPr="0070357C" w14:paraId="7138A413" w14:textId="77777777" w:rsidTr="00FF68A3">
        <w:trPr>
          <w:trHeight w:val="20"/>
          <w:jc w:val="center"/>
        </w:trPr>
        <w:tc>
          <w:tcPr>
            <w:tcW w:w="1546" w:type="dxa"/>
          </w:tcPr>
          <w:p w14:paraId="59FD86B9"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Nutrition</w:t>
            </w:r>
          </w:p>
        </w:tc>
        <w:tc>
          <w:tcPr>
            <w:tcW w:w="3600" w:type="dxa"/>
          </w:tcPr>
          <w:p w14:paraId="6E26476A"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Pollen diversity, floral abundance, food stores</w:t>
            </w:r>
          </w:p>
        </w:tc>
        <w:tc>
          <w:tcPr>
            <w:tcW w:w="3914" w:type="dxa"/>
          </w:tcPr>
          <w:p w14:paraId="4D8E900A"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Floral surveys plus hive-level measures</w:t>
            </w:r>
          </w:p>
        </w:tc>
      </w:tr>
      <w:tr w:rsidR="0083750D" w:rsidRPr="0070357C" w14:paraId="1EB69AB3" w14:textId="77777777" w:rsidTr="00FF68A3">
        <w:trPr>
          <w:trHeight w:val="20"/>
          <w:jc w:val="center"/>
        </w:trPr>
        <w:tc>
          <w:tcPr>
            <w:tcW w:w="1546" w:type="dxa"/>
          </w:tcPr>
          <w:p w14:paraId="24FB61F1"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Disease</w:t>
            </w:r>
          </w:p>
        </w:tc>
        <w:tc>
          <w:tcPr>
            <w:tcW w:w="3600" w:type="dxa"/>
          </w:tcPr>
          <w:p w14:paraId="5AE929E6"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Parasite load, brood symptoms, pathogen tests</w:t>
            </w:r>
          </w:p>
        </w:tc>
        <w:tc>
          <w:tcPr>
            <w:tcW w:w="3914" w:type="dxa"/>
          </w:tcPr>
          <w:p w14:paraId="3DF9441B"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Integrated field and laboratory diagnostics</w:t>
            </w:r>
          </w:p>
        </w:tc>
      </w:tr>
      <w:tr w:rsidR="0083750D" w:rsidRPr="0070357C" w14:paraId="1FC55064" w14:textId="77777777" w:rsidTr="00FF68A3">
        <w:trPr>
          <w:trHeight w:val="20"/>
          <w:jc w:val="center"/>
        </w:trPr>
        <w:tc>
          <w:tcPr>
            <w:tcW w:w="1546" w:type="dxa"/>
          </w:tcPr>
          <w:p w14:paraId="5E59852A"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Pesticide exposure</w:t>
            </w:r>
          </w:p>
        </w:tc>
        <w:tc>
          <w:tcPr>
            <w:tcW w:w="3600" w:type="dxa"/>
          </w:tcPr>
          <w:p w14:paraId="2B5688AE"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Residues in pollen/nectar/wax/bee tissues</w:t>
            </w:r>
          </w:p>
        </w:tc>
        <w:tc>
          <w:tcPr>
            <w:tcW w:w="3914" w:type="dxa"/>
          </w:tcPr>
          <w:p w14:paraId="31C64EAF"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Field-realistic exposure assessment</w:t>
            </w:r>
          </w:p>
        </w:tc>
      </w:tr>
      <w:tr w:rsidR="0083750D" w:rsidRPr="0070357C" w14:paraId="2A52E6DD" w14:textId="77777777" w:rsidTr="00FF68A3">
        <w:trPr>
          <w:trHeight w:val="20"/>
          <w:jc w:val="center"/>
        </w:trPr>
        <w:tc>
          <w:tcPr>
            <w:tcW w:w="1546" w:type="dxa"/>
          </w:tcPr>
          <w:p w14:paraId="6FA9C45F"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Climate</w:t>
            </w:r>
          </w:p>
        </w:tc>
        <w:tc>
          <w:tcPr>
            <w:tcW w:w="3600" w:type="dxa"/>
          </w:tcPr>
          <w:p w14:paraId="5EDF6B9E"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Temperature, rainfall, heat events, flowering phenology</w:t>
            </w:r>
          </w:p>
        </w:tc>
        <w:tc>
          <w:tcPr>
            <w:tcW w:w="3914" w:type="dxa"/>
          </w:tcPr>
          <w:p w14:paraId="3C307706"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Long-term environmental monitoring</w:t>
            </w:r>
          </w:p>
        </w:tc>
      </w:tr>
      <w:tr w:rsidR="0083750D" w:rsidRPr="0070357C" w14:paraId="752FF284" w14:textId="77777777" w:rsidTr="00FF68A3">
        <w:trPr>
          <w:trHeight w:val="20"/>
          <w:jc w:val="center"/>
        </w:trPr>
        <w:tc>
          <w:tcPr>
            <w:tcW w:w="1546" w:type="dxa"/>
          </w:tcPr>
          <w:p w14:paraId="496F8347"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Landscape</w:t>
            </w:r>
          </w:p>
        </w:tc>
        <w:tc>
          <w:tcPr>
            <w:tcW w:w="3600" w:type="dxa"/>
          </w:tcPr>
          <w:p w14:paraId="560C1036"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Crop cover, floral habitat, nesting sites</w:t>
            </w:r>
          </w:p>
        </w:tc>
        <w:tc>
          <w:tcPr>
            <w:tcW w:w="3914" w:type="dxa"/>
          </w:tcPr>
          <w:p w14:paraId="27D6C428" w14:textId="77777777" w:rsidR="0083750D" w:rsidRPr="0070357C" w:rsidRDefault="0083750D" w:rsidP="0070357C">
            <w:pPr>
              <w:widowControl w:val="0"/>
              <w:autoSpaceDE w:val="0"/>
              <w:autoSpaceDN w:val="0"/>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GIS/remote sensing linked to colony data</w:t>
            </w:r>
          </w:p>
        </w:tc>
      </w:tr>
    </w:tbl>
    <w:p w14:paraId="4B77B6CD" w14:textId="77777777" w:rsidR="0083750D" w:rsidRPr="0070357C" w:rsidRDefault="0083750D" w:rsidP="0070357C">
      <w:pPr>
        <w:widowControl w:val="0"/>
        <w:autoSpaceDE w:val="0"/>
        <w:autoSpaceDN w:val="0"/>
        <w:spacing w:after="0" w:line="240" w:lineRule="auto"/>
        <w:rPr>
          <w:rFonts w:ascii="Times New Roman" w:eastAsia="Times New Roman" w:hAnsi="Times New Roman" w:cs="Times New Roman"/>
          <w:sz w:val="14"/>
          <w:szCs w:val="14"/>
        </w:rPr>
      </w:pPr>
    </w:p>
    <w:p w14:paraId="583BEF0B"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Pesticide studies should distinguish acute mortality from sublethal outcomes. Where feasible, residues should be measured in relevant matrices such as pollen, nectar, honey, beeswax or bee bodies. Experimental exposure should use realistic concentrations and transparent dose descriptions.</w:t>
      </w:r>
    </w:p>
    <w:p w14:paraId="0E4E4F64"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4"/>
          <w:szCs w:val="14"/>
        </w:rPr>
      </w:pPr>
    </w:p>
    <w:p w14:paraId="6D48735C"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Disease studies benefit from combining visual diagnosis with laboratory confirmation where available. Molecular diagnostics can identify pathogens or parasites that are difficult to detect from appearance alone. The 2026 literature increasingly highlights the value of integrated diagnostic and epidemiological approaches rather than relying on a single test (Bava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2026a; Motta &amp; Moran, 2024).</w:t>
      </w:r>
    </w:p>
    <w:p w14:paraId="0517A088"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lastRenderedPageBreak/>
        <w:t>Ethics in bee research includes minimizing unnecessary colony disturbance and avoiding practices that compromise colony survival merely for data collection. Studies should report colony losses, exclusions and missing data transparently.</w:t>
      </w:r>
    </w:p>
    <w:p w14:paraId="300E3151"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5E3F7B5F" w14:textId="09761CBA" w:rsidR="0083750D" w:rsidRPr="0070357C" w:rsidRDefault="0070357C" w:rsidP="0070357C">
      <w:pPr>
        <w:pStyle w:val="Heading3"/>
        <w:rPr>
          <w:rFonts w:eastAsia="Arial MT" w:cs="Times New Roman"/>
        </w:rPr>
      </w:pPr>
      <w:r w:rsidRPr="0070357C">
        <w:rPr>
          <w:rFonts w:eastAsia="Arial MT" w:cs="Times New Roman"/>
        </w:rPr>
        <w:t xml:space="preserve">16. </w:t>
      </w:r>
      <w:r w:rsidR="0083750D" w:rsidRPr="0070357C">
        <w:rPr>
          <w:rFonts w:eastAsia="Arial MT" w:cs="Times New Roman"/>
        </w:rPr>
        <w:t>Future Directions</w:t>
      </w:r>
    </w:p>
    <w:p w14:paraId="6CBFA7BC"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446CCCD8"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Future honey bee research will increasingly integrate ecology,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toxicology, microbiology, genetics and precision agriculture. Automated hive scales, acoustic sensors, computer vision and machine-learning systems can provide continuous information on activity, colony weight and </w:t>
      </w:r>
      <w:proofErr w:type="spellStart"/>
      <w:r w:rsidRPr="0070357C">
        <w:rPr>
          <w:rFonts w:ascii="Times New Roman" w:eastAsia="Times New Roman" w:hAnsi="Times New Roman" w:cs="Times New Roman"/>
          <w:sz w:val="17"/>
          <w:szCs w:val="17"/>
        </w:rPr>
        <w:t>behavioural</w:t>
      </w:r>
      <w:proofErr w:type="spellEnd"/>
      <w:r w:rsidRPr="0070357C">
        <w:rPr>
          <w:rFonts w:ascii="Times New Roman" w:eastAsia="Times New Roman" w:hAnsi="Times New Roman" w:cs="Times New Roman"/>
          <w:sz w:val="17"/>
          <w:szCs w:val="17"/>
        </w:rPr>
        <w:t xml:space="preserve"> change. These technologies should be validated against expert observations before being used as stand-alone indicators.</w:t>
      </w:r>
    </w:p>
    <w:p w14:paraId="05C99E9F"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CFB5270"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Microbiome research is likely to contribute to a better understanding of immunity and environmental stress. Probiotic and microbiome-engineering approaches are promising but should be assessed for ecological safety, stability, host specificity and field performance before broad adoption (Motta &amp; Moran, 2024; Navarro-Escalante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2025).</w:t>
      </w:r>
    </w:p>
    <w:p w14:paraId="27D9EB8B"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0964F9A"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Climate-smart apiculture is another priority. Long-term datasets linking weather, flowering, colony strength and honey yield could help predict forage gaps and disease risk. Such datasets would be particularly valuable in India, where floral calendars and climate conditions vary strongly among regions.</w:t>
      </w:r>
    </w:p>
    <w:p w14:paraId="76D0F8C6"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178BAA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Risk assessment should also move toward multi-stressor frameworks. Instead of asking whether a single pesticide kills bees at an acute dose, researchers should ask how realistic exposure influences foraging, immunity, nutrition and colony reproduction across time. Recent reviews on pesticide effects and mitigation strongly support this shift (Cappa &amp; </w:t>
      </w:r>
      <w:proofErr w:type="spellStart"/>
      <w:r w:rsidRPr="0070357C">
        <w:rPr>
          <w:rFonts w:ascii="Times New Roman" w:eastAsia="Times New Roman" w:hAnsi="Times New Roman" w:cs="Times New Roman"/>
          <w:sz w:val="17"/>
          <w:szCs w:val="17"/>
        </w:rPr>
        <w:t>Baracchi</w:t>
      </w:r>
      <w:proofErr w:type="spellEnd"/>
      <w:r w:rsidRPr="0070357C">
        <w:rPr>
          <w:rFonts w:ascii="Times New Roman" w:eastAsia="Times New Roman" w:hAnsi="Times New Roman" w:cs="Times New Roman"/>
          <w:sz w:val="17"/>
          <w:szCs w:val="17"/>
        </w:rPr>
        <w:t xml:space="preserve">, 2024; Musah, 2026; Bava </w:t>
      </w:r>
      <w:r w:rsidRPr="0070357C">
        <w:rPr>
          <w:rFonts w:ascii="Times New Roman" w:eastAsia="Times New Roman" w:hAnsi="Times New Roman" w:cs="Times New Roman"/>
          <w:i/>
          <w:iCs/>
          <w:sz w:val="17"/>
          <w:szCs w:val="17"/>
        </w:rPr>
        <w:t>et al.</w:t>
      </w:r>
      <w:r w:rsidRPr="0070357C">
        <w:rPr>
          <w:rFonts w:ascii="Times New Roman" w:eastAsia="Times New Roman" w:hAnsi="Times New Roman" w:cs="Times New Roman"/>
          <w:sz w:val="17"/>
          <w:szCs w:val="17"/>
        </w:rPr>
        <w:t>, 2026b).</w:t>
      </w:r>
    </w:p>
    <w:p w14:paraId="685C1D10"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F9CC41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Conservation science should integrate managed and wild pollinators. Protecting wild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nesting </w:t>
      </w:r>
      <w:r w:rsidRPr="0070357C">
        <w:rPr>
          <w:rFonts w:ascii="Times New Roman" w:eastAsia="Times New Roman" w:hAnsi="Times New Roman" w:cs="Times New Roman"/>
          <w:sz w:val="17"/>
          <w:szCs w:val="17"/>
        </w:rPr>
        <w:t>and floral resources can improve ecosystem resilience while managed colonies provide agricultural pollination where appropriate.</w:t>
      </w:r>
    </w:p>
    <w:p w14:paraId="5C1AE3F8"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36A2013D" w14:textId="24011F01" w:rsidR="0083750D" w:rsidRPr="0070357C" w:rsidRDefault="0070357C" w:rsidP="0070357C">
      <w:pPr>
        <w:pStyle w:val="Heading3"/>
        <w:rPr>
          <w:rFonts w:eastAsia="Arial MT" w:cs="Times New Roman"/>
        </w:rPr>
      </w:pPr>
      <w:r w:rsidRPr="0070357C">
        <w:rPr>
          <w:rFonts w:eastAsia="Arial MT" w:cs="Times New Roman"/>
        </w:rPr>
        <w:t xml:space="preserve">17. </w:t>
      </w:r>
      <w:r w:rsidR="0083750D" w:rsidRPr="0070357C">
        <w:rPr>
          <w:rFonts w:eastAsia="Arial MT" w:cs="Times New Roman"/>
        </w:rPr>
        <w:t>Integrated Discussion</w:t>
      </w:r>
    </w:p>
    <w:p w14:paraId="498E8BC7"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00164F3D"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The literature demonstrates that honey bees connect three systems that are often studied separately: colony biology, agricultural production and environmental change. A colony converts floral resources into social reproduction and pollination services, but the stability of this system depends on ecological context.</w:t>
      </w:r>
    </w:p>
    <w:p w14:paraId="2D6BA1D3"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2EA94F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The most consistent lesson is that honey bee health is multifactorial. Disease, pesticides, nutrition and climate should not be considered isolated topics. A colony exposed to a single stressor may compensate, whereas several simultaneous pressures can reduce resilience. This explains why management strategies based only on one threat often produce incomplete results.</w:t>
      </w:r>
    </w:p>
    <w:p w14:paraId="726CE96B"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8E7E08D" w14:textId="60D947B5"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Indian evidence strengthens the case for locally adapted solutions. </w:t>
      </w:r>
      <w:r w:rsidRPr="0070357C">
        <w:rPr>
          <w:rFonts w:ascii="Times New Roman" w:eastAsia="Times New Roman" w:hAnsi="Times New Roman" w:cs="Times New Roman"/>
          <w:i/>
          <w:sz w:val="17"/>
          <w:szCs w:val="17"/>
        </w:rPr>
        <w:t xml:space="preserve">A. cerana and A. mellifera differ in biology and management, while wild A. dorsata and A. florea cannot simply be treated as </w:t>
      </w:r>
      <w:r w:rsidRPr="0070357C">
        <w:rPr>
          <w:rFonts w:ascii="Times New Roman" w:eastAsia="Times New Roman" w:hAnsi="Times New Roman" w:cs="Times New Roman"/>
          <w:sz w:val="17"/>
          <w:szCs w:val="17"/>
        </w:rPr>
        <w:t>unmanaged versions of apiary bees. Crop systems also differ in flowering period and pesticide exposure. Therefore, pollinator management should be designed at the landscape and seasonal scale.</w:t>
      </w:r>
    </w:p>
    <w:p w14:paraId="029E6CF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The review also highlights an important distinction between pollination service and pollinator conservation. Managed honey bees can increase crop pollination, but healthy ecosystems require diverse pollinator communities. Conservation should therefore protect native bees, flowering plants and nesting habitat while maintaining responsible apiary practices.</w:t>
      </w:r>
    </w:p>
    <w:p w14:paraId="4FD232D6"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2C7479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The future of Indian apiculture lies in integration: evidence-based beekeeping, disease surveillance, floral-resource planning, pesticide stewardship, climate adaptation and long-term research. Such an approach can improve honey production while strengthening the ecological services on which agriculture depends.</w:t>
      </w:r>
    </w:p>
    <w:p w14:paraId="4F9FD769"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0211B850"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evidence </w:t>
      </w:r>
      <w:proofErr w:type="spellStart"/>
      <w:r w:rsidRPr="0070357C">
        <w:rPr>
          <w:rFonts w:ascii="Times New Roman" w:eastAsia="Times New Roman" w:hAnsi="Times New Roman" w:cs="Times New Roman"/>
          <w:sz w:val="17"/>
          <w:szCs w:val="17"/>
        </w:rPr>
        <w:t>synthesised</w:t>
      </w:r>
      <w:proofErr w:type="spellEnd"/>
      <w:r w:rsidRPr="0070357C">
        <w:rPr>
          <w:rFonts w:ascii="Times New Roman" w:eastAsia="Times New Roman" w:hAnsi="Times New Roman" w:cs="Times New Roman"/>
          <w:sz w:val="17"/>
          <w:szCs w:val="17"/>
        </w:rPr>
        <w:t xml:space="preserve"> in this review indicates that honey bee health is best understood as an outcome of interacting biological, environmental and management-related factors. Individual stressors such as pesticides, pathogens, parasites, nutritional limitation or climatic variability may produce measurable effects, but their consequences can be modified by simultaneous exposure to other stressors and by landscape and colony conditions. Therefore, findings obtained under controlled laboratory conditions should be interpreted carefully when considering colony-level outcomes in heterogeneous agricultural landscapes. Species-specific differences are also important because ecological adaptation, nesting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xml:space="preserve">, foraging patterns and management practices vary among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species. An integrated approach that combines colony-health monitoring, pollination ecology, landscape assessment and sustainable agricultural management is consequently more informative than assessment of any single stressor in isolation.</w:t>
      </w:r>
    </w:p>
    <w:p w14:paraId="669442F3" w14:textId="77777777" w:rsidR="0083750D" w:rsidRPr="0070357C" w:rsidRDefault="0083750D"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17DBA041" w14:textId="1A82A918" w:rsidR="0083750D" w:rsidRPr="0070357C" w:rsidRDefault="0070357C" w:rsidP="0070357C">
      <w:pPr>
        <w:pStyle w:val="Heading3"/>
        <w:rPr>
          <w:rFonts w:eastAsia="Arial MT" w:cs="Times New Roman"/>
        </w:rPr>
      </w:pPr>
      <w:r w:rsidRPr="0070357C">
        <w:rPr>
          <w:rFonts w:eastAsia="Arial MT" w:cs="Times New Roman"/>
        </w:rPr>
        <w:t xml:space="preserve">18. </w:t>
      </w:r>
      <w:r w:rsidR="0083750D" w:rsidRPr="0070357C">
        <w:rPr>
          <w:rFonts w:eastAsia="Arial MT" w:cs="Times New Roman"/>
        </w:rPr>
        <w:t>Conclusion</w:t>
      </w:r>
    </w:p>
    <w:p w14:paraId="231B57A4"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5F9F8CE4"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Honey bees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spp.) are ecologically and agriculturally important organisms whose </w:t>
      </w:r>
      <w:r w:rsidRPr="0070357C">
        <w:rPr>
          <w:rFonts w:ascii="Times New Roman" w:eastAsia="Times New Roman" w:hAnsi="Times New Roman" w:cs="Times New Roman"/>
          <w:sz w:val="17"/>
          <w:szCs w:val="17"/>
        </w:rPr>
        <w:t xml:space="preserve">contributions extend from pollination and food production to biodiversity maintenance and ecosystem functioning. The evidence reviewed demonstrates that colony health and pollination performance are shaped by interconnected biological, nutritional, environmental, climatic, and management-related factors. Pesticides, pathogens and parasites, inadequate floral resources, habitat modification, climate variability, and other interacting stressors can influence bee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immunity, foraging activity, colony development, and long-term resilience.</w:t>
      </w:r>
    </w:p>
    <w:p w14:paraId="399AFD39" w14:textId="77777777" w:rsidR="0070357C" w:rsidRPr="0070357C" w:rsidRDefault="0070357C"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BFD490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In the Indian agroecosystem context, conservation of honey bees requires an approach that integrates sustainable agriculture with pollinator health. Protection and restoration of diverse floral resources, reduction of unnecessary pesticide exposure through integrated pest management, disease and parasite surveillance, responsible beekeeping and hive movement, and conservation of </w:t>
      </w:r>
      <w:r w:rsidRPr="0070357C">
        <w:rPr>
          <w:rFonts w:ascii="Times New Roman" w:eastAsia="Times New Roman" w:hAnsi="Times New Roman" w:cs="Times New Roman"/>
          <w:sz w:val="17"/>
          <w:szCs w:val="17"/>
        </w:rPr>
        <w:lastRenderedPageBreak/>
        <w:t>natural and semi-natural habitats are important components of such an approach. Managed honey bees should also be considered alongside wild pollinators because agricultural landscapes depend on diverse pollinator communities.</w:t>
      </w:r>
    </w:p>
    <w:p w14:paraId="69C93596"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EE87DB2"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major threats are interconnected. Pesticides can affect survival and </w:t>
      </w:r>
      <w:proofErr w:type="spellStart"/>
      <w:r w:rsidRPr="0070357C">
        <w:rPr>
          <w:rFonts w:ascii="Times New Roman" w:eastAsia="Times New Roman" w:hAnsi="Times New Roman" w:cs="Times New Roman"/>
          <w:sz w:val="17"/>
          <w:szCs w:val="17"/>
        </w:rPr>
        <w:t>behaviour</w:t>
      </w:r>
      <w:proofErr w:type="spellEnd"/>
      <w:r w:rsidRPr="0070357C">
        <w:rPr>
          <w:rFonts w:ascii="Times New Roman" w:eastAsia="Times New Roman" w:hAnsi="Times New Roman" w:cs="Times New Roman"/>
          <w:sz w:val="17"/>
          <w:szCs w:val="17"/>
        </w:rPr>
        <w:t>; pathogens and parasites can weaken colonies; nutritional shortages reduce resilience; climate change can alter flowering and foraging conditions; and habitat simplification can reduce the continuity of resources. Effective conservation therefore requires a multi-stressor approach.</w:t>
      </w:r>
    </w:p>
    <w:p w14:paraId="5F540394" w14:textId="77777777" w:rsidR="00FF68A3" w:rsidRPr="0070357C" w:rsidRDefault="00FF68A3"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482AE6D0"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Future research should </w:t>
      </w:r>
      <w:proofErr w:type="spellStart"/>
      <w:r w:rsidRPr="0070357C">
        <w:rPr>
          <w:rFonts w:ascii="Times New Roman" w:eastAsia="Times New Roman" w:hAnsi="Times New Roman" w:cs="Times New Roman"/>
          <w:sz w:val="17"/>
          <w:szCs w:val="17"/>
        </w:rPr>
        <w:t>prioritise</w:t>
      </w:r>
      <w:proofErr w:type="spellEnd"/>
      <w:r w:rsidRPr="0070357C">
        <w:rPr>
          <w:rFonts w:ascii="Times New Roman" w:eastAsia="Times New Roman" w:hAnsi="Times New Roman" w:cs="Times New Roman"/>
          <w:sz w:val="17"/>
          <w:szCs w:val="17"/>
        </w:rPr>
        <w:t xml:space="preserve"> </w:t>
      </w:r>
      <w:proofErr w:type="spellStart"/>
      <w:r w:rsidRPr="0070357C">
        <w:rPr>
          <w:rFonts w:ascii="Times New Roman" w:eastAsia="Times New Roman" w:hAnsi="Times New Roman" w:cs="Times New Roman"/>
          <w:sz w:val="17"/>
          <w:szCs w:val="17"/>
        </w:rPr>
        <w:t>standardised</w:t>
      </w:r>
      <w:proofErr w:type="spellEnd"/>
      <w:r w:rsidRPr="0070357C">
        <w:rPr>
          <w:rFonts w:ascii="Times New Roman" w:eastAsia="Times New Roman" w:hAnsi="Times New Roman" w:cs="Times New Roman"/>
          <w:sz w:val="17"/>
          <w:szCs w:val="17"/>
        </w:rPr>
        <w:t xml:space="preserve"> colony-health indicators, long-term and landscape-scale monitoring, comparative studies among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i/>
          <w:sz w:val="17"/>
          <w:szCs w:val="17"/>
        </w:rPr>
        <w:t xml:space="preserve"> species, investigation of multiple-stressor interactions, and stronger</w:t>
      </w:r>
      <w:r w:rsidRPr="0070357C">
        <w:rPr>
          <w:rFonts w:ascii="Times New Roman" w:eastAsia="Times New Roman" w:hAnsi="Times New Roman" w:cs="Times New Roman"/>
          <w:sz w:val="17"/>
          <w:szCs w:val="17"/>
        </w:rPr>
        <w:t xml:space="preserve"> integration of pollination ecology with agricultural and conservation planning. Overall,</w:t>
      </w:r>
    </w:p>
    <w:p w14:paraId="5743981E"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0B3DAD7" w14:textId="33D4FC24"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maintaining healthy honey bee populations requires coordinated efforts among researchers, beekeepers, farmers, conservation practitioners, and agricultural stakeholders to support both pollinator persistence and sustainable food production.</w:t>
      </w:r>
    </w:p>
    <w:p w14:paraId="3EDF5999"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197D2737" w14:textId="1342EF94" w:rsidR="0083750D" w:rsidRPr="0070357C" w:rsidRDefault="0070357C" w:rsidP="0070357C">
      <w:pPr>
        <w:pStyle w:val="Heading3"/>
        <w:rPr>
          <w:rFonts w:eastAsia="Arial MT" w:cs="Times New Roman"/>
        </w:rPr>
      </w:pPr>
      <w:r w:rsidRPr="0070357C">
        <w:rPr>
          <w:rFonts w:eastAsia="Arial MT" w:cs="Times New Roman"/>
        </w:rPr>
        <w:t xml:space="preserve">19. </w:t>
      </w:r>
      <w:r w:rsidR="0083750D" w:rsidRPr="0070357C">
        <w:rPr>
          <w:rFonts w:eastAsia="Arial MT" w:cs="Times New Roman"/>
        </w:rPr>
        <w:t>Key Recommendations</w:t>
      </w:r>
    </w:p>
    <w:p w14:paraId="48C11333" w14:textId="77777777" w:rsidR="00FF68A3" w:rsidRPr="0070357C" w:rsidRDefault="00FF68A3" w:rsidP="0070357C">
      <w:pPr>
        <w:widowControl w:val="0"/>
        <w:tabs>
          <w:tab w:val="left" w:pos="645"/>
        </w:tabs>
        <w:autoSpaceDE w:val="0"/>
        <w:autoSpaceDN w:val="0"/>
        <w:spacing w:after="0" w:line="240" w:lineRule="auto"/>
        <w:jc w:val="both"/>
        <w:outlineLvl w:val="0"/>
        <w:rPr>
          <w:rFonts w:ascii="Times New Roman" w:eastAsia="Arial MT" w:hAnsi="Times New Roman" w:cs="Times New Roman"/>
          <w:sz w:val="17"/>
          <w:szCs w:val="17"/>
        </w:rPr>
      </w:pPr>
    </w:p>
    <w:p w14:paraId="71561A48" w14:textId="77777777" w:rsidR="0083750D" w:rsidRPr="0070357C" w:rsidRDefault="0083750D" w:rsidP="0070357C">
      <w:pPr>
        <w:pStyle w:val="ListParagraph"/>
        <w:numPr>
          <w:ilvl w:val="0"/>
          <w:numId w:val="14"/>
        </w:numPr>
        <w:tabs>
          <w:tab w:val="left" w:pos="1800"/>
        </w:tabs>
        <w:ind w:left="720"/>
        <w:jc w:val="both"/>
        <w:rPr>
          <w:sz w:val="17"/>
          <w:szCs w:val="17"/>
        </w:rPr>
      </w:pPr>
      <w:r w:rsidRPr="0070357C">
        <w:rPr>
          <w:sz w:val="17"/>
          <w:szCs w:val="17"/>
        </w:rPr>
        <w:t>Maintain diverse floral resources across the full annual foraging period rather than relying only on short mass-flowering crops.</w:t>
      </w:r>
    </w:p>
    <w:p w14:paraId="0F3B29EE" w14:textId="77777777" w:rsidR="0083750D" w:rsidRPr="0070357C" w:rsidRDefault="0083750D" w:rsidP="0070357C">
      <w:pPr>
        <w:pStyle w:val="ListParagraph"/>
        <w:numPr>
          <w:ilvl w:val="0"/>
          <w:numId w:val="14"/>
        </w:numPr>
        <w:tabs>
          <w:tab w:val="left" w:pos="587"/>
          <w:tab w:val="left" w:pos="1800"/>
        </w:tabs>
        <w:ind w:left="720"/>
        <w:jc w:val="both"/>
        <w:rPr>
          <w:sz w:val="17"/>
          <w:szCs w:val="17"/>
        </w:rPr>
      </w:pPr>
      <w:r w:rsidRPr="0070357C">
        <w:rPr>
          <w:sz w:val="17"/>
          <w:szCs w:val="17"/>
        </w:rPr>
        <w:t>Use integrated pest management and avoid unnecessary pesticide exposure during periods of bee activity.</w:t>
      </w:r>
    </w:p>
    <w:p w14:paraId="6BC446FB" w14:textId="77777777" w:rsidR="0083750D" w:rsidRPr="0070357C" w:rsidRDefault="0083750D" w:rsidP="0070357C">
      <w:pPr>
        <w:pStyle w:val="ListParagraph"/>
        <w:numPr>
          <w:ilvl w:val="0"/>
          <w:numId w:val="14"/>
        </w:numPr>
        <w:tabs>
          <w:tab w:val="left" w:pos="572"/>
          <w:tab w:val="left" w:pos="1800"/>
        </w:tabs>
        <w:ind w:left="720"/>
        <w:jc w:val="both"/>
        <w:rPr>
          <w:sz w:val="17"/>
          <w:szCs w:val="17"/>
        </w:rPr>
      </w:pPr>
      <w:r w:rsidRPr="0070357C">
        <w:rPr>
          <w:sz w:val="17"/>
          <w:szCs w:val="17"/>
        </w:rPr>
        <w:t>Monitor colonies routinely for parasites, brood disease, queen performance, food stores and colony strength.</w:t>
      </w:r>
    </w:p>
    <w:p w14:paraId="63E3FBE0" w14:textId="77777777" w:rsidR="0083750D" w:rsidRPr="0070357C" w:rsidRDefault="0083750D" w:rsidP="0070357C">
      <w:pPr>
        <w:pStyle w:val="ListParagraph"/>
        <w:numPr>
          <w:ilvl w:val="0"/>
          <w:numId w:val="14"/>
        </w:numPr>
        <w:tabs>
          <w:tab w:val="left" w:pos="1800"/>
        </w:tabs>
        <w:ind w:left="720"/>
        <w:jc w:val="both"/>
        <w:rPr>
          <w:sz w:val="17"/>
          <w:szCs w:val="17"/>
        </w:rPr>
      </w:pPr>
      <w:r w:rsidRPr="0070357C">
        <w:rPr>
          <w:sz w:val="17"/>
          <w:szCs w:val="17"/>
        </w:rPr>
        <w:t>Improve biosecurity during colony movement and exchange of bees or hive materials.</w:t>
      </w:r>
    </w:p>
    <w:p w14:paraId="3C42A168" w14:textId="77777777" w:rsidR="0083750D" w:rsidRPr="0070357C" w:rsidRDefault="0083750D" w:rsidP="0070357C">
      <w:pPr>
        <w:pStyle w:val="ListParagraph"/>
        <w:numPr>
          <w:ilvl w:val="0"/>
          <w:numId w:val="14"/>
        </w:numPr>
        <w:tabs>
          <w:tab w:val="left" w:pos="1800"/>
        </w:tabs>
        <w:ind w:left="720"/>
        <w:jc w:val="both"/>
        <w:rPr>
          <w:sz w:val="17"/>
          <w:szCs w:val="17"/>
        </w:rPr>
      </w:pPr>
      <w:r w:rsidRPr="0070357C">
        <w:rPr>
          <w:sz w:val="17"/>
          <w:szCs w:val="17"/>
        </w:rPr>
        <w:t>Develop region-specific floral calendars and climate-informed management plans.</w:t>
      </w:r>
    </w:p>
    <w:p w14:paraId="6336F53C" w14:textId="77777777" w:rsidR="0083750D" w:rsidRPr="0070357C" w:rsidRDefault="0083750D" w:rsidP="0070357C">
      <w:pPr>
        <w:pStyle w:val="ListParagraph"/>
        <w:numPr>
          <w:ilvl w:val="0"/>
          <w:numId w:val="14"/>
        </w:numPr>
        <w:tabs>
          <w:tab w:val="left" w:pos="1800"/>
        </w:tabs>
        <w:ind w:left="720"/>
        <w:jc w:val="both"/>
        <w:rPr>
          <w:sz w:val="17"/>
          <w:szCs w:val="17"/>
        </w:rPr>
      </w:pPr>
      <w:r w:rsidRPr="0070357C">
        <w:rPr>
          <w:sz w:val="17"/>
          <w:szCs w:val="17"/>
        </w:rPr>
        <w:t xml:space="preserve">Protect nesting and foraging habitat for wild </w:t>
      </w:r>
      <w:r w:rsidRPr="0070357C">
        <w:rPr>
          <w:i/>
          <w:iCs/>
          <w:sz w:val="17"/>
          <w:szCs w:val="17"/>
        </w:rPr>
        <w:t>Apis</w:t>
      </w:r>
      <w:r w:rsidRPr="0070357C">
        <w:rPr>
          <w:i/>
          <w:sz w:val="17"/>
          <w:szCs w:val="17"/>
        </w:rPr>
        <w:t xml:space="preserve"> species and other native </w:t>
      </w:r>
      <w:r w:rsidRPr="0070357C">
        <w:rPr>
          <w:sz w:val="17"/>
          <w:szCs w:val="17"/>
        </w:rPr>
        <w:t>pollinators.</w:t>
      </w:r>
    </w:p>
    <w:p w14:paraId="4E6AF28F" w14:textId="77777777" w:rsidR="0083750D" w:rsidRPr="0070357C" w:rsidRDefault="0083750D" w:rsidP="0070357C">
      <w:pPr>
        <w:pStyle w:val="ListParagraph"/>
        <w:numPr>
          <w:ilvl w:val="0"/>
          <w:numId w:val="14"/>
        </w:numPr>
        <w:tabs>
          <w:tab w:val="left" w:pos="1800"/>
        </w:tabs>
        <w:ind w:left="720"/>
        <w:jc w:val="both"/>
        <w:rPr>
          <w:sz w:val="17"/>
          <w:szCs w:val="17"/>
        </w:rPr>
      </w:pPr>
      <w:proofErr w:type="spellStart"/>
      <w:r w:rsidRPr="0070357C">
        <w:rPr>
          <w:sz w:val="17"/>
          <w:szCs w:val="17"/>
        </w:rPr>
        <w:t>Standardise</w:t>
      </w:r>
      <w:proofErr w:type="spellEnd"/>
      <w:r w:rsidRPr="0070357C">
        <w:rPr>
          <w:sz w:val="17"/>
          <w:szCs w:val="17"/>
        </w:rPr>
        <w:t xml:space="preserve"> colony-health and pesticide-exposure indicators in Indian research.</w:t>
      </w:r>
    </w:p>
    <w:p w14:paraId="77E84A23" w14:textId="77777777" w:rsidR="0083750D" w:rsidRPr="0070357C" w:rsidRDefault="0083750D" w:rsidP="0070357C">
      <w:pPr>
        <w:pStyle w:val="ListParagraph"/>
        <w:numPr>
          <w:ilvl w:val="0"/>
          <w:numId w:val="14"/>
        </w:numPr>
        <w:tabs>
          <w:tab w:val="left" w:pos="1800"/>
        </w:tabs>
        <w:ind w:left="720"/>
        <w:jc w:val="both"/>
        <w:rPr>
          <w:sz w:val="17"/>
          <w:szCs w:val="17"/>
        </w:rPr>
      </w:pPr>
      <w:r w:rsidRPr="0070357C">
        <w:rPr>
          <w:sz w:val="17"/>
          <w:szCs w:val="17"/>
        </w:rPr>
        <w:t xml:space="preserve">Distinguish acute mortality from chronic and sublethal </w:t>
      </w:r>
      <w:proofErr w:type="spellStart"/>
      <w:r w:rsidRPr="0070357C">
        <w:rPr>
          <w:sz w:val="17"/>
          <w:szCs w:val="17"/>
        </w:rPr>
        <w:t>behavioural</w:t>
      </w:r>
      <w:proofErr w:type="spellEnd"/>
      <w:r w:rsidRPr="0070357C">
        <w:rPr>
          <w:sz w:val="17"/>
          <w:szCs w:val="17"/>
        </w:rPr>
        <w:t xml:space="preserve"> and colony-level effects.</w:t>
      </w:r>
    </w:p>
    <w:p w14:paraId="25711A07" w14:textId="77777777" w:rsidR="0083750D" w:rsidRPr="0070357C" w:rsidRDefault="0083750D" w:rsidP="0070357C">
      <w:pPr>
        <w:pStyle w:val="ListParagraph"/>
        <w:numPr>
          <w:ilvl w:val="0"/>
          <w:numId w:val="14"/>
        </w:numPr>
        <w:tabs>
          <w:tab w:val="left" w:pos="1800"/>
        </w:tabs>
        <w:ind w:left="720"/>
        <w:jc w:val="both"/>
        <w:rPr>
          <w:sz w:val="17"/>
          <w:szCs w:val="17"/>
        </w:rPr>
      </w:pPr>
      <w:r w:rsidRPr="0070357C">
        <w:rPr>
          <w:sz w:val="17"/>
          <w:szCs w:val="17"/>
        </w:rPr>
        <w:t>Combine agricultural productivity goals with pollinator biodiversity conservation.</w:t>
      </w:r>
    </w:p>
    <w:p w14:paraId="7F003503" w14:textId="77777777" w:rsidR="0083750D" w:rsidRPr="0070357C" w:rsidRDefault="0083750D" w:rsidP="0070357C">
      <w:pPr>
        <w:pStyle w:val="ListParagraph"/>
        <w:numPr>
          <w:ilvl w:val="0"/>
          <w:numId w:val="14"/>
        </w:numPr>
        <w:tabs>
          <w:tab w:val="left" w:pos="662"/>
          <w:tab w:val="left" w:pos="1800"/>
        </w:tabs>
        <w:ind w:left="720"/>
        <w:jc w:val="both"/>
        <w:rPr>
          <w:sz w:val="17"/>
          <w:szCs w:val="17"/>
        </w:rPr>
      </w:pPr>
      <w:r w:rsidRPr="0070357C">
        <w:rPr>
          <w:sz w:val="17"/>
          <w:szCs w:val="17"/>
        </w:rPr>
        <w:t>Build long-term Indian datasets linking bee health, flowering phenology, climate, pesticides and crop yield.</w:t>
      </w:r>
    </w:p>
    <w:p w14:paraId="45FEB651" w14:textId="77777777" w:rsidR="0083750D" w:rsidRPr="0070357C" w:rsidRDefault="0083750D" w:rsidP="0070357C">
      <w:pPr>
        <w:widowControl w:val="0"/>
        <w:tabs>
          <w:tab w:val="left" w:pos="1800"/>
        </w:tabs>
        <w:autoSpaceDE w:val="0"/>
        <w:autoSpaceDN w:val="0"/>
        <w:spacing w:after="0" w:line="240" w:lineRule="auto"/>
        <w:ind w:left="720"/>
        <w:jc w:val="both"/>
        <w:rPr>
          <w:rFonts w:ascii="Times New Roman" w:eastAsia="Times New Roman" w:hAnsi="Times New Roman" w:cs="Times New Roman"/>
          <w:sz w:val="17"/>
          <w:szCs w:val="17"/>
        </w:rPr>
      </w:pPr>
    </w:p>
    <w:p w14:paraId="5D69C771" w14:textId="3E873192" w:rsidR="0083750D" w:rsidRPr="0070357C" w:rsidRDefault="0070357C" w:rsidP="0070357C">
      <w:pPr>
        <w:pStyle w:val="Heading3"/>
        <w:rPr>
          <w:rFonts w:eastAsia="Times New Roman" w:cs="Times New Roman"/>
        </w:rPr>
      </w:pPr>
      <w:r w:rsidRPr="0070357C">
        <w:rPr>
          <w:rFonts w:eastAsia="Times New Roman" w:cs="Times New Roman"/>
        </w:rPr>
        <w:t xml:space="preserve">20. </w:t>
      </w:r>
      <w:r w:rsidR="0083750D" w:rsidRPr="0070357C">
        <w:rPr>
          <w:rFonts w:eastAsia="Times New Roman" w:cs="Times New Roman"/>
        </w:rPr>
        <w:t>Limitations</w:t>
      </w:r>
    </w:p>
    <w:p w14:paraId="024EFC38" w14:textId="77777777" w:rsidR="0070357C" w:rsidRPr="0070357C" w:rsidRDefault="0070357C" w:rsidP="0070357C">
      <w:pPr>
        <w:spacing w:after="0" w:line="240" w:lineRule="auto"/>
        <w:jc w:val="both"/>
        <w:rPr>
          <w:rFonts w:ascii="Times New Roman" w:eastAsia="Times New Roman" w:hAnsi="Times New Roman" w:cs="Times New Roman"/>
          <w:sz w:val="17"/>
          <w:szCs w:val="17"/>
        </w:rPr>
      </w:pPr>
    </w:p>
    <w:p w14:paraId="3E152A12" w14:textId="77777777" w:rsidR="0083750D" w:rsidRPr="0070357C" w:rsidRDefault="0083750D" w:rsidP="0070357C">
      <w:pPr>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This narrative review does not employ a systematic-review protocol, formal quality assessment or meta-analysis, and therefore does not provide pooled estimates of effect size. Evidence is uneven among </w:t>
      </w:r>
      <w:r w:rsidRPr="0070357C">
        <w:rPr>
          <w:rFonts w:ascii="Times New Roman" w:eastAsia="Times New Roman" w:hAnsi="Times New Roman" w:cs="Times New Roman"/>
          <w:i/>
          <w:iCs/>
          <w:sz w:val="17"/>
          <w:szCs w:val="17"/>
        </w:rPr>
        <w:t>Apis</w:t>
      </w:r>
      <w:r w:rsidRPr="0070357C">
        <w:rPr>
          <w:rFonts w:ascii="Times New Roman" w:eastAsia="Times New Roman" w:hAnsi="Times New Roman" w:cs="Times New Roman"/>
          <w:sz w:val="17"/>
          <w:szCs w:val="17"/>
        </w:rPr>
        <w:t xml:space="preserve"> species, with much of the mechanistic literature focused on </w:t>
      </w:r>
      <w:r w:rsidRPr="0070357C">
        <w:rPr>
          <w:rFonts w:ascii="Times New Roman" w:eastAsia="Times New Roman" w:hAnsi="Times New Roman" w:cs="Times New Roman"/>
          <w:i/>
          <w:iCs/>
          <w:sz w:val="17"/>
          <w:szCs w:val="17"/>
        </w:rPr>
        <w:t>A. mellifera</w:t>
      </w:r>
      <w:r w:rsidRPr="0070357C">
        <w:rPr>
          <w:rFonts w:ascii="Times New Roman" w:eastAsia="Times New Roman" w:hAnsi="Times New Roman" w:cs="Times New Roman"/>
          <w:sz w:val="17"/>
          <w:szCs w:val="17"/>
        </w:rPr>
        <w:t xml:space="preserve">, limiting direct </w:t>
      </w:r>
      <w:proofErr w:type="spellStart"/>
      <w:r w:rsidRPr="0070357C">
        <w:rPr>
          <w:rFonts w:ascii="Times New Roman" w:eastAsia="Times New Roman" w:hAnsi="Times New Roman" w:cs="Times New Roman"/>
          <w:sz w:val="17"/>
          <w:szCs w:val="17"/>
        </w:rPr>
        <w:t>generalisation</w:t>
      </w:r>
      <w:proofErr w:type="spellEnd"/>
      <w:r w:rsidRPr="0070357C">
        <w:rPr>
          <w:rFonts w:ascii="Times New Roman" w:eastAsia="Times New Roman" w:hAnsi="Times New Roman" w:cs="Times New Roman"/>
          <w:sz w:val="17"/>
          <w:szCs w:val="17"/>
        </w:rPr>
        <w:t xml:space="preserve"> to </w:t>
      </w:r>
      <w:r w:rsidRPr="0070357C">
        <w:rPr>
          <w:rFonts w:ascii="Times New Roman" w:eastAsia="Times New Roman" w:hAnsi="Times New Roman" w:cs="Times New Roman"/>
          <w:i/>
          <w:iCs/>
          <w:sz w:val="17"/>
          <w:szCs w:val="17"/>
        </w:rPr>
        <w:t>A. cerana</w:t>
      </w:r>
      <w:r w:rsidRPr="0070357C">
        <w:rPr>
          <w:rFonts w:ascii="Times New Roman" w:eastAsia="Times New Roman" w:hAnsi="Times New Roman" w:cs="Times New Roman"/>
          <w:sz w:val="17"/>
          <w:szCs w:val="17"/>
        </w:rPr>
        <w:t xml:space="preserve">, </w:t>
      </w:r>
      <w:r w:rsidRPr="0070357C">
        <w:rPr>
          <w:rFonts w:ascii="Times New Roman" w:eastAsia="Times New Roman" w:hAnsi="Times New Roman" w:cs="Times New Roman"/>
          <w:i/>
          <w:iCs/>
          <w:sz w:val="17"/>
          <w:szCs w:val="17"/>
        </w:rPr>
        <w:t>A. dorsata</w:t>
      </w:r>
      <w:r w:rsidRPr="0070357C">
        <w:rPr>
          <w:rFonts w:ascii="Times New Roman" w:eastAsia="Times New Roman" w:hAnsi="Times New Roman" w:cs="Times New Roman"/>
          <w:sz w:val="17"/>
          <w:szCs w:val="17"/>
        </w:rPr>
        <w:t xml:space="preserve"> and </w:t>
      </w:r>
      <w:r w:rsidRPr="0070357C">
        <w:rPr>
          <w:rFonts w:ascii="Times New Roman" w:eastAsia="Times New Roman" w:hAnsi="Times New Roman" w:cs="Times New Roman"/>
          <w:i/>
          <w:iCs/>
          <w:sz w:val="17"/>
          <w:szCs w:val="17"/>
        </w:rPr>
        <w:t>A. florea</w:t>
      </w:r>
      <w:r w:rsidRPr="0070357C">
        <w:rPr>
          <w:rFonts w:ascii="Times New Roman" w:eastAsia="Times New Roman" w:hAnsi="Times New Roman" w:cs="Times New Roman"/>
          <w:sz w:val="17"/>
          <w:szCs w:val="17"/>
        </w:rPr>
        <w:t xml:space="preserve">. Indian evidence also varies among regions, </w:t>
      </w:r>
      <w:proofErr w:type="spellStart"/>
      <w:r w:rsidRPr="0070357C">
        <w:rPr>
          <w:rFonts w:ascii="Times New Roman" w:eastAsia="Times New Roman" w:hAnsi="Times New Roman" w:cs="Times New Roman"/>
          <w:sz w:val="17"/>
          <w:szCs w:val="17"/>
        </w:rPr>
        <w:t>agro</w:t>
      </w:r>
      <w:proofErr w:type="spellEnd"/>
      <w:r w:rsidRPr="0070357C">
        <w:rPr>
          <w:rFonts w:ascii="Times New Roman" w:eastAsia="Times New Roman" w:hAnsi="Times New Roman" w:cs="Times New Roman"/>
          <w:sz w:val="17"/>
          <w:szCs w:val="17"/>
        </w:rPr>
        <w:t xml:space="preserve">-climatic zones and research topics. Future systematic reviews and long-term, species-specific studies using </w:t>
      </w:r>
      <w:proofErr w:type="spellStart"/>
      <w:r w:rsidRPr="0070357C">
        <w:rPr>
          <w:rFonts w:ascii="Times New Roman" w:eastAsia="Times New Roman" w:hAnsi="Times New Roman" w:cs="Times New Roman"/>
          <w:sz w:val="17"/>
          <w:szCs w:val="17"/>
        </w:rPr>
        <w:t>standardised</w:t>
      </w:r>
      <w:proofErr w:type="spellEnd"/>
      <w:r w:rsidRPr="0070357C">
        <w:rPr>
          <w:rFonts w:ascii="Times New Roman" w:eastAsia="Times New Roman" w:hAnsi="Times New Roman" w:cs="Times New Roman"/>
          <w:sz w:val="17"/>
          <w:szCs w:val="17"/>
        </w:rPr>
        <w:t xml:space="preserve"> colony-health measures would strengthen comparison across Indian agroecosystems.</w:t>
      </w:r>
    </w:p>
    <w:p w14:paraId="4CFBBD38"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69497B12" w14:textId="77777777" w:rsidR="0083750D" w:rsidRPr="0070357C" w:rsidRDefault="0083750D" w:rsidP="0070357C">
      <w:pPr>
        <w:pStyle w:val="Heading3"/>
        <w:rPr>
          <w:rFonts w:eastAsia="Arial MT" w:cs="Times New Roman"/>
        </w:rPr>
      </w:pPr>
      <w:r w:rsidRPr="0070357C">
        <w:rPr>
          <w:rFonts w:eastAsia="Arial MT" w:cs="Times New Roman"/>
        </w:rPr>
        <w:t>Declaration of AI Use</w:t>
      </w:r>
    </w:p>
    <w:p w14:paraId="57D3CD04" w14:textId="77777777" w:rsidR="0070357C" w:rsidRPr="0070357C" w:rsidRDefault="0070357C" w:rsidP="0070357C">
      <w:pPr>
        <w:widowControl w:val="0"/>
        <w:autoSpaceDE w:val="0"/>
        <w:autoSpaceDN w:val="0"/>
        <w:spacing w:after="0" w:line="240" w:lineRule="auto"/>
        <w:jc w:val="both"/>
        <w:rPr>
          <w:rFonts w:ascii="Times New Roman" w:eastAsia="Arial MT" w:hAnsi="Times New Roman" w:cs="Times New Roman"/>
          <w:sz w:val="17"/>
          <w:szCs w:val="17"/>
        </w:rPr>
      </w:pPr>
    </w:p>
    <w:p w14:paraId="43034D10" w14:textId="77777777" w:rsidR="0083750D" w:rsidRPr="0070357C" w:rsidRDefault="0083750D" w:rsidP="0070357C">
      <w:pPr>
        <w:widowControl w:val="0"/>
        <w:autoSpaceDE w:val="0"/>
        <w:autoSpaceDN w:val="0"/>
        <w:spacing w:after="0" w:line="240" w:lineRule="auto"/>
        <w:jc w:val="both"/>
        <w:rPr>
          <w:rFonts w:ascii="Times New Roman" w:eastAsia="Arial MT" w:hAnsi="Times New Roman" w:cs="Times New Roman"/>
          <w:sz w:val="17"/>
          <w:szCs w:val="17"/>
        </w:rPr>
      </w:pPr>
      <w:r w:rsidRPr="0070357C">
        <w:rPr>
          <w:rFonts w:ascii="Times New Roman" w:eastAsia="Arial MT" w:hAnsi="Times New Roman" w:cs="Times New Roman"/>
          <w:sz w:val="17"/>
          <w:szCs w:val="17"/>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EAB8DF" w14:textId="77777777" w:rsidR="0070357C" w:rsidRPr="0070357C" w:rsidRDefault="0070357C" w:rsidP="0070357C">
      <w:pPr>
        <w:widowControl w:val="0"/>
        <w:autoSpaceDE w:val="0"/>
        <w:autoSpaceDN w:val="0"/>
        <w:spacing w:after="0" w:line="240" w:lineRule="auto"/>
        <w:jc w:val="both"/>
        <w:rPr>
          <w:rFonts w:ascii="Times New Roman" w:eastAsia="Arial MT" w:hAnsi="Times New Roman" w:cs="Times New Roman"/>
          <w:sz w:val="17"/>
          <w:szCs w:val="17"/>
        </w:rPr>
      </w:pPr>
    </w:p>
    <w:p w14:paraId="7BCDCAE4" w14:textId="77777777" w:rsidR="0070357C" w:rsidRPr="0070357C" w:rsidRDefault="0070357C" w:rsidP="0070357C">
      <w:pPr>
        <w:pStyle w:val="Heading3"/>
        <w:rPr>
          <w:rFonts w:eastAsia="Arial MT" w:cs="Times New Roman"/>
        </w:rPr>
      </w:pPr>
      <w:r w:rsidRPr="0070357C">
        <w:rPr>
          <w:rFonts w:eastAsia="Arial MT" w:cs="Times New Roman"/>
        </w:rPr>
        <w:t>Competing Interests</w:t>
      </w:r>
    </w:p>
    <w:p w14:paraId="20ED7428" w14:textId="77777777" w:rsidR="0070357C" w:rsidRPr="0070357C" w:rsidRDefault="0070357C"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508DE897" w14:textId="34AA2C0F" w:rsidR="0070357C" w:rsidRPr="0070357C" w:rsidRDefault="0070357C" w:rsidP="0070357C">
      <w:pPr>
        <w:widowControl w:val="0"/>
        <w:autoSpaceDE w:val="0"/>
        <w:autoSpaceDN w:val="0"/>
        <w:spacing w:after="0" w:line="240" w:lineRule="auto"/>
        <w:jc w:val="both"/>
        <w:rPr>
          <w:rFonts w:ascii="Times New Roman" w:eastAsia="Times New Roman" w:hAnsi="Times New Roman" w:cs="Times New Roman"/>
          <w:sz w:val="17"/>
          <w:szCs w:val="17"/>
        </w:rPr>
      </w:pPr>
      <w:r w:rsidRPr="0070357C">
        <w:rPr>
          <w:rFonts w:ascii="Times New Roman" w:eastAsia="Times New Roman" w:hAnsi="Times New Roman" w:cs="Times New Roman"/>
          <w:sz w:val="17"/>
          <w:szCs w:val="17"/>
        </w:rPr>
        <w:t xml:space="preserve">The authors have </w:t>
      </w:r>
      <w:proofErr w:type="gramStart"/>
      <w:r w:rsidRPr="0070357C">
        <w:rPr>
          <w:rFonts w:ascii="Times New Roman" w:eastAsia="Times New Roman" w:hAnsi="Times New Roman" w:cs="Times New Roman"/>
          <w:sz w:val="17"/>
          <w:szCs w:val="17"/>
        </w:rPr>
        <w:t>declare</w:t>
      </w:r>
      <w:proofErr w:type="gramEnd"/>
      <w:r w:rsidRPr="0070357C">
        <w:rPr>
          <w:rFonts w:ascii="Times New Roman" w:eastAsia="Times New Roman" w:hAnsi="Times New Roman" w:cs="Times New Roman"/>
          <w:sz w:val="17"/>
          <w:szCs w:val="17"/>
        </w:rPr>
        <w:t xml:space="preserve"> that there are no known competing financial or non-financial interests that could have influenced the work reported in this manuscript.</w:t>
      </w:r>
    </w:p>
    <w:p w14:paraId="70B02B63"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317D673B" w14:textId="77777777" w:rsidR="0083750D" w:rsidRPr="0070357C" w:rsidRDefault="0083750D" w:rsidP="0070357C">
      <w:pPr>
        <w:pStyle w:val="Heading3"/>
        <w:rPr>
          <w:rFonts w:eastAsia="Arial MT" w:cs="Times New Roman"/>
        </w:rPr>
      </w:pPr>
      <w:r w:rsidRPr="0070357C">
        <w:rPr>
          <w:rFonts w:eastAsia="Arial MT" w:cs="Times New Roman"/>
        </w:rPr>
        <w:t>References</w:t>
      </w:r>
    </w:p>
    <w:p w14:paraId="32EE1C6C" w14:textId="77777777" w:rsidR="0083750D" w:rsidRPr="0070357C" w:rsidRDefault="0083750D" w:rsidP="0070357C">
      <w:pPr>
        <w:widowControl w:val="0"/>
        <w:autoSpaceDE w:val="0"/>
        <w:autoSpaceDN w:val="0"/>
        <w:spacing w:after="0" w:line="240" w:lineRule="auto"/>
        <w:jc w:val="both"/>
        <w:rPr>
          <w:rFonts w:ascii="Times New Roman" w:eastAsia="Times New Roman" w:hAnsi="Times New Roman" w:cs="Times New Roman"/>
          <w:sz w:val="17"/>
          <w:szCs w:val="17"/>
        </w:rPr>
      </w:pPr>
    </w:p>
    <w:p w14:paraId="72D28DB7"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Abdi, K., Ben Said, M., Crotti, E., Masmoudi, A. S., &amp; Cherif, A. (2023). The promise of probiotics in honeybee health and disease management. </w:t>
      </w:r>
      <w:r w:rsidRPr="0070357C">
        <w:rPr>
          <w:rFonts w:ascii="Times New Roman" w:eastAsia="Times New Roman" w:hAnsi="Times New Roman" w:cs="Times New Roman"/>
          <w:i/>
          <w:iCs/>
          <w:color w:val="000000" w:themeColor="text1"/>
          <w:sz w:val="17"/>
          <w:szCs w:val="17"/>
        </w:rPr>
        <w:t>Archives of Microbiology, 205</w:t>
      </w:r>
      <w:r w:rsidRPr="0070357C">
        <w:rPr>
          <w:rFonts w:ascii="Times New Roman" w:eastAsia="Times New Roman" w:hAnsi="Times New Roman" w:cs="Times New Roman"/>
          <w:color w:val="000000" w:themeColor="text1"/>
          <w:sz w:val="17"/>
          <w:szCs w:val="17"/>
        </w:rPr>
        <w:t xml:space="preserve">(2), 73. </w:t>
      </w:r>
      <w:hyperlink r:id="rId13" w:history="1">
        <w:r w:rsidRPr="0070357C">
          <w:rPr>
            <w:rFonts w:ascii="Times New Roman" w:eastAsia="Times New Roman" w:hAnsi="Times New Roman" w:cs="Times New Roman"/>
            <w:color w:val="000000" w:themeColor="text1"/>
            <w:sz w:val="17"/>
            <w:szCs w:val="17"/>
          </w:rPr>
          <w:t>https://doi.org/10.1007/s00203-023-03416-z</w:t>
        </w:r>
      </w:hyperlink>
    </w:p>
    <w:p w14:paraId="1293AB61"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Adit, A., Singh, V. K., Tandon, R., &amp; </w:t>
      </w:r>
      <w:proofErr w:type="spellStart"/>
      <w:r w:rsidRPr="0070357C">
        <w:rPr>
          <w:rFonts w:ascii="Times New Roman" w:eastAsia="Times New Roman" w:hAnsi="Times New Roman" w:cs="Times New Roman"/>
          <w:color w:val="000000" w:themeColor="text1"/>
          <w:sz w:val="17"/>
          <w:szCs w:val="17"/>
        </w:rPr>
        <w:t>Shivanna</w:t>
      </w:r>
      <w:proofErr w:type="spellEnd"/>
      <w:r w:rsidRPr="0070357C">
        <w:rPr>
          <w:rFonts w:ascii="Times New Roman" w:eastAsia="Times New Roman" w:hAnsi="Times New Roman" w:cs="Times New Roman"/>
          <w:color w:val="000000" w:themeColor="text1"/>
          <w:sz w:val="17"/>
          <w:szCs w:val="17"/>
        </w:rPr>
        <w:t xml:space="preserve">, K. R. (2024). Pollination research in India: Current status, future vision and conservation implications. </w:t>
      </w:r>
      <w:r w:rsidRPr="0070357C">
        <w:rPr>
          <w:rFonts w:ascii="Times New Roman" w:eastAsia="Times New Roman" w:hAnsi="Times New Roman" w:cs="Times New Roman"/>
          <w:i/>
          <w:iCs/>
          <w:color w:val="000000" w:themeColor="text1"/>
          <w:sz w:val="17"/>
          <w:szCs w:val="17"/>
        </w:rPr>
        <w:t>Integrative Conservation, 3</w:t>
      </w:r>
      <w:r w:rsidRPr="0070357C">
        <w:rPr>
          <w:rFonts w:ascii="Times New Roman" w:eastAsia="Times New Roman" w:hAnsi="Times New Roman" w:cs="Times New Roman"/>
          <w:color w:val="000000" w:themeColor="text1"/>
          <w:sz w:val="17"/>
          <w:szCs w:val="17"/>
        </w:rPr>
        <w:t xml:space="preserve">(4), 330–341. </w:t>
      </w:r>
      <w:hyperlink r:id="rId14" w:history="1">
        <w:r w:rsidRPr="0070357C">
          <w:rPr>
            <w:rFonts w:ascii="Times New Roman" w:eastAsia="Times New Roman" w:hAnsi="Times New Roman" w:cs="Times New Roman"/>
            <w:color w:val="000000" w:themeColor="text1"/>
            <w:sz w:val="17"/>
            <w:szCs w:val="17"/>
          </w:rPr>
          <w:t>https://doi.org/10.1002/inc3.74</w:t>
        </w:r>
      </w:hyperlink>
    </w:p>
    <w:p w14:paraId="4622727E"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proofErr w:type="spellStart"/>
      <w:r w:rsidRPr="0070357C">
        <w:rPr>
          <w:rFonts w:ascii="Times New Roman" w:eastAsia="Times New Roman" w:hAnsi="Times New Roman" w:cs="Times New Roman"/>
          <w:color w:val="000000" w:themeColor="text1"/>
          <w:sz w:val="17"/>
          <w:szCs w:val="17"/>
        </w:rPr>
        <w:t>Alaux</w:t>
      </w:r>
      <w:proofErr w:type="spellEnd"/>
      <w:r w:rsidRPr="0070357C">
        <w:rPr>
          <w:rFonts w:ascii="Times New Roman" w:eastAsia="Times New Roman" w:hAnsi="Times New Roman" w:cs="Times New Roman"/>
          <w:color w:val="000000" w:themeColor="text1"/>
          <w:sz w:val="17"/>
          <w:szCs w:val="17"/>
        </w:rPr>
        <w:t xml:space="preserve">, C., </w:t>
      </w:r>
      <w:proofErr w:type="spellStart"/>
      <w:r w:rsidRPr="0070357C">
        <w:rPr>
          <w:rFonts w:ascii="Times New Roman" w:eastAsia="Times New Roman" w:hAnsi="Times New Roman" w:cs="Times New Roman"/>
          <w:color w:val="000000" w:themeColor="text1"/>
          <w:sz w:val="17"/>
          <w:szCs w:val="17"/>
        </w:rPr>
        <w:t>Ducloz</w:t>
      </w:r>
      <w:proofErr w:type="spellEnd"/>
      <w:r w:rsidRPr="0070357C">
        <w:rPr>
          <w:rFonts w:ascii="Times New Roman" w:eastAsia="Times New Roman" w:hAnsi="Times New Roman" w:cs="Times New Roman"/>
          <w:color w:val="000000" w:themeColor="text1"/>
          <w:sz w:val="17"/>
          <w:szCs w:val="17"/>
        </w:rPr>
        <w:t xml:space="preserve">, F., Crauser, D., &amp; Le Conte, Y. (2010). Diet effects on honeybee immunocompetence. </w:t>
      </w:r>
      <w:r w:rsidRPr="0070357C">
        <w:rPr>
          <w:rFonts w:ascii="Times New Roman" w:eastAsia="Times New Roman" w:hAnsi="Times New Roman" w:cs="Times New Roman"/>
          <w:i/>
          <w:iCs/>
          <w:color w:val="000000" w:themeColor="text1"/>
          <w:sz w:val="17"/>
          <w:szCs w:val="17"/>
        </w:rPr>
        <w:t>Biology Letters, 6</w:t>
      </w:r>
      <w:r w:rsidRPr="0070357C">
        <w:rPr>
          <w:rFonts w:ascii="Times New Roman" w:eastAsia="Times New Roman" w:hAnsi="Times New Roman" w:cs="Times New Roman"/>
          <w:color w:val="000000" w:themeColor="text1"/>
          <w:sz w:val="17"/>
          <w:szCs w:val="17"/>
        </w:rPr>
        <w:t xml:space="preserve">(4), 562–565. </w:t>
      </w:r>
      <w:hyperlink r:id="rId15" w:history="1">
        <w:r w:rsidRPr="0070357C">
          <w:rPr>
            <w:rFonts w:ascii="Times New Roman" w:eastAsia="Times New Roman" w:hAnsi="Times New Roman" w:cs="Times New Roman"/>
            <w:color w:val="000000" w:themeColor="text1"/>
            <w:sz w:val="17"/>
            <w:szCs w:val="17"/>
          </w:rPr>
          <w:t>https://doi.org/10.1098/rsbl.2009.0986</w:t>
        </w:r>
      </w:hyperlink>
    </w:p>
    <w:p w14:paraId="328F25D7"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proofErr w:type="spellStart"/>
      <w:r w:rsidRPr="0070357C">
        <w:rPr>
          <w:rFonts w:ascii="Times New Roman" w:eastAsia="Times New Roman" w:hAnsi="Times New Roman" w:cs="Times New Roman"/>
          <w:color w:val="000000" w:themeColor="text1"/>
          <w:sz w:val="17"/>
          <w:szCs w:val="17"/>
        </w:rPr>
        <w:t>Ashaq</w:t>
      </w:r>
      <w:proofErr w:type="spellEnd"/>
      <w:r w:rsidRPr="0070357C">
        <w:rPr>
          <w:rFonts w:ascii="Times New Roman" w:eastAsia="Times New Roman" w:hAnsi="Times New Roman" w:cs="Times New Roman"/>
          <w:color w:val="000000" w:themeColor="text1"/>
          <w:sz w:val="17"/>
          <w:szCs w:val="17"/>
        </w:rPr>
        <w:t xml:space="preserve">, M., </w:t>
      </w:r>
      <w:proofErr w:type="spellStart"/>
      <w:r w:rsidRPr="0070357C">
        <w:rPr>
          <w:rFonts w:ascii="Times New Roman" w:eastAsia="Times New Roman" w:hAnsi="Times New Roman" w:cs="Times New Roman"/>
          <w:color w:val="000000" w:themeColor="text1"/>
          <w:sz w:val="17"/>
          <w:szCs w:val="17"/>
        </w:rPr>
        <w:t>VijayKumar</w:t>
      </w:r>
      <w:proofErr w:type="spellEnd"/>
      <w:r w:rsidRPr="0070357C">
        <w:rPr>
          <w:rFonts w:ascii="Times New Roman" w:eastAsia="Times New Roman" w:hAnsi="Times New Roman" w:cs="Times New Roman"/>
          <w:color w:val="000000" w:themeColor="text1"/>
          <w:sz w:val="17"/>
          <w:szCs w:val="17"/>
        </w:rPr>
        <w:t xml:space="preserve">, R., </w:t>
      </w:r>
      <w:proofErr w:type="spellStart"/>
      <w:r w:rsidRPr="0070357C">
        <w:rPr>
          <w:rFonts w:ascii="Times New Roman" w:eastAsia="Times New Roman" w:hAnsi="Times New Roman" w:cs="Times New Roman"/>
          <w:color w:val="000000" w:themeColor="text1"/>
          <w:sz w:val="17"/>
          <w:szCs w:val="17"/>
        </w:rPr>
        <w:t>Pagire</w:t>
      </w:r>
      <w:proofErr w:type="spellEnd"/>
      <w:r w:rsidRPr="0070357C">
        <w:rPr>
          <w:rFonts w:ascii="Times New Roman" w:eastAsia="Times New Roman" w:hAnsi="Times New Roman" w:cs="Times New Roman"/>
          <w:color w:val="000000" w:themeColor="text1"/>
          <w:sz w:val="17"/>
          <w:szCs w:val="17"/>
        </w:rPr>
        <w:t xml:space="preserve">, K. S., Ashoka, P., Kumar, A., </w:t>
      </w:r>
      <w:proofErr w:type="spellStart"/>
      <w:r w:rsidRPr="0070357C">
        <w:rPr>
          <w:rFonts w:ascii="Times New Roman" w:eastAsia="Times New Roman" w:hAnsi="Times New Roman" w:cs="Times New Roman"/>
          <w:color w:val="000000" w:themeColor="text1"/>
          <w:sz w:val="17"/>
          <w:szCs w:val="17"/>
        </w:rPr>
        <w:t>Jagadeeswar</w:t>
      </w:r>
      <w:proofErr w:type="spellEnd"/>
      <w:r w:rsidRPr="0070357C">
        <w:rPr>
          <w:rFonts w:ascii="Times New Roman" w:eastAsia="Times New Roman" w:hAnsi="Times New Roman" w:cs="Times New Roman"/>
          <w:color w:val="000000" w:themeColor="text1"/>
          <w:sz w:val="17"/>
          <w:szCs w:val="17"/>
        </w:rPr>
        <w:t xml:space="preserve">, P., Begam, S. S., Kashyap, V., Pathak, M., &amp; Shakya, A. (2025). Sustainable practices and innovation impacts on beekeeping and honeybee productivity. </w:t>
      </w:r>
      <w:r w:rsidRPr="0070357C">
        <w:rPr>
          <w:rFonts w:ascii="Times New Roman" w:eastAsia="Times New Roman" w:hAnsi="Times New Roman" w:cs="Times New Roman"/>
          <w:i/>
          <w:iCs/>
          <w:color w:val="000000" w:themeColor="text1"/>
          <w:sz w:val="17"/>
          <w:szCs w:val="17"/>
        </w:rPr>
        <w:t>Uttar Pradesh Journal of Zoology, 46</w:t>
      </w:r>
      <w:r w:rsidRPr="0070357C">
        <w:rPr>
          <w:rFonts w:ascii="Times New Roman" w:eastAsia="Times New Roman" w:hAnsi="Times New Roman" w:cs="Times New Roman"/>
          <w:color w:val="000000" w:themeColor="text1"/>
          <w:sz w:val="17"/>
          <w:szCs w:val="17"/>
        </w:rPr>
        <w:t xml:space="preserve">(19), 27–40. </w:t>
      </w:r>
      <w:hyperlink r:id="rId16" w:history="1">
        <w:r w:rsidRPr="0070357C">
          <w:rPr>
            <w:rFonts w:ascii="Times New Roman" w:eastAsia="Times New Roman" w:hAnsi="Times New Roman" w:cs="Times New Roman"/>
            <w:color w:val="000000" w:themeColor="text1"/>
            <w:sz w:val="17"/>
            <w:szCs w:val="17"/>
          </w:rPr>
          <w:t>https://doi.org/10.56557/upjoz/2025/v46i195266</w:t>
        </w:r>
      </w:hyperlink>
    </w:p>
    <w:p w14:paraId="38AB6952"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Bartomeus, I., Ascher, J. S., Wagner, D., Danforth, B. N., Colla, S., Kornbluth, S., &amp; Winfree, R. (2011). Climate-associated phenological advances in bee pollinators and bee-pollinated plants. </w:t>
      </w:r>
      <w:r w:rsidRPr="0070357C">
        <w:rPr>
          <w:rFonts w:ascii="Times New Roman" w:eastAsia="Times New Roman" w:hAnsi="Times New Roman" w:cs="Times New Roman"/>
          <w:i/>
          <w:iCs/>
          <w:color w:val="000000" w:themeColor="text1"/>
          <w:sz w:val="17"/>
          <w:szCs w:val="17"/>
        </w:rPr>
        <w:t>Proceedings of the National Academy of Sciences, 108</w:t>
      </w:r>
      <w:r w:rsidRPr="0070357C">
        <w:rPr>
          <w:rFonts w:ascii="Times New Roman" w:eastAsia="Times New Roman" w:hAnsi="Times New Roman" w:cs="Times New Roman"/>
          <w:color w:val="000000" w:themeColor="text1"/>
          <w:sz w:val="17"/>
          <w:szCs w:val="17"/>
        </w:rPr>
        <w:t xml:space="preserve">(51), 20645–20649. </w:t>
      </w:r>
      <w:hyperlink r:id="rId17" w:history="1">
        <w:r w:rsidRPr="0070357C">
          <w:rPr>
            <w:rFonts w:ascii="Times New Roman" w:eastAsia="Times New Roman" w:hAnsi="Times New Roman" w:cs="Times New Roman"/>
            <w:color w:val="000000" w:themeColor="text1"/>
            <w:sz w:val="17"/>
            <w:szCs w:val="17"/>
          </w:rPr>
          <w:t>https://doi.org/10.1073/pnas.1115559108</w:t>
        </w:r>
      </w:hyperlink>
    </w:p>
    <w:p w14:paraId="22F43BD1"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Bava, R., Castagna, F., Ruga, S., </w:t>
      </w:r>
      <w:proofErr w:type="spellStart"/>
      <w:r w:rsidRPr="0070357C">
        <w:rPr>
          <w:rFonts w:ascii="Times New Roman" w:eastAsia="Times New Roman" w:hAnsi="Times New Roman" w:cs="Times New Roman"/>
          <w:color w:val="000000" w:themeColor="text1"/>
          <w:sz w:val="17"/>
          <w:szCs w:val="17"/>
        </w:rPr>
        <w:t>Bulotta</w:t>
      </w:r>
      <w:proofErr w:type="spellEnd"/>
      <w:r w:rsidRPr="0070357C">
        <w:rPr>
          <w:rFonts w:ascii="Times New Roman" w:eastAsia="Times New Roman" w:hAnsi="Times New Roman" w:cs="Times New Roman"/>
          <w:color w:val="000000" w:themeColor="text1"/>
          <w:sz w:val="17"/>
          <w:szCs w:val="17"/>
        </w:rPr>
        <w:t xml:space="preserve">, R. M., Liguori, G., Britti, D., Palma, E., &amp; Musella, V. (2026). Diagnostic techniques and epidemiological methods for parasites in beekeeping: Considerations and perspectives. </w:t>
      </w:r>
      <w:r w:rsidRPr="0070357C">
        <w:rPr>
          <w:rFonts w:ascii="Times New Roman" w:eastAsia="Times New Roman" w:hAnsi="Times New Roman" w:cs="Times New Roman"/>
          <w:i/>
          <w:iCs/>
          <w:color w:val="000000" w:themeColor="text1"/>
          <w:sz w:val="17"/>
          <w:szCs w:val="17"/>
        </w:rPr>
        <w:t>Pathogens, 15</w:t>
      </w:r>
      <w:r w:rsidRPr="0070357C">
        <w:rPr>
          <w:rFonts w:ascii="Times New Roman" w:eastAsia="Times New Roman" w:hAnsi="Times New Roman" w:cs="Times New Roman"/>
          <w:color w:val="000000" w:themeColor="text1"/>
          <w:sz w:val="17"/>
          <w:szCs w:val="17"/>
        </w:rPr>
        <w:t xml:space="preserve">(1), 84. </w:t>
      </w:r>
      <w:hyperlink r:id="rId18" w:history="1">
        <w:r w:rsidRPr="0070357C">
          <w:rPr>
            <w:rFonts w:ascii="Times New Roman" w:eastAsia="Times New Roman" w:hAnsi="Times New Roman" w:cs="Times New Roman"/>
            <w:color w:val="000000" w:themeColor="text1"/>
            <w:sz w:val="17"/>
            <w:szCs w:val="17"/>
          </w:rPr>
          <w:t>https://doi.org/10.3390/pathogens15010084</w:t>
        </w:r>
      </w:hyperlink>
    </w:p>
    <w:p w14:paraId="0EA79047"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lastRenderedPageBreak/>
        <w:t xml:space="preserve">Bava, R., Castagna, F., Ruga, S., Liguori, G., </w:t>
      </w:r>
      <w:proofErr w:type="spellStart"/>
      <w:r w:rsidRPr="0070357C">
        <w:rPr>
          <w:rFonts w:ascii="Times New Roman" w:eastAsia="Times New Roman" w:hAnsi="Times New Roman" w:cs="Times New Roman"/>
          <w:color w:val="000000" w:themeColor="text1"/>
          <w:sz w:val="17"/>
          <w:szCs w:val="17"/>
        </w:rPr>
        <w:t>Bulotta</w:t>
      </w:r>
      <w:proofErr w:type="spellEnd"/>
      <w:r w:rsidRPr="0070357C">
        <w:rPr>
          <w:rFonts w:ascii="Times New Roman" w:eastAsia="Times New Roman" w:hAnsi="Times New Roman" w:cs="Times New Roman"/>
          <w:color w:val="000000" w:themeColor="text1"/>
          <w:sz w:val="17"/>
          <w:szCs w:val="17"/>
        </w:rPr>
        <w:t xml:space="preserve">, R. M., Brosio, D., Lombardi, R., Giordano, A., Montano, L., </w:t>
      </w:r>
      <w:proofErr w:type="spellStart"/>
      <w:r w:rsidRPr="0070357C">
        <w:rPr>
          <w:rFonts w:ascii="Times New Roman" w:eastAsia="Times New Roman" w:hAnsi="Times New Roman" w:cs="Times New Roman"/>
          <w:color w:val="000000" w:themeColor="text1"/>
          <w:sz w:val="17"/>
          <w:szCs w:val="17"/>
        </w:rPr>
        <w:t>Britti</w:t>
      </w:r>
      <w:proofErr w:type="spellEnd"/>
      <w:r w:rsidRPr="0070357C">
        <w:rPr>
          <w:rFonts w:ascii="Times New Roman" w:eastAsia="Times New Roman" w:hAnsi="Times New Roman" w:cs="Times New Roman"/>
          <w:color w:val="000000" w:themeColor="text1"/>
          <w:sz w:val="17"/>
          <w:szCs w:val="17"/>
        </w:rPr>
        <w:t>, D., &amp; Palma, E. (2026). Sublethal pesticide effects, synergistic interactions and resilience strategies in honey bees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A narrative review. </w:t>
      </w:r>
      <w:r w:rsidRPr="0070357C">
        <w:rPr>
          <w:rFonts w:ascii="Times New Roman" w:eastAsia="Times New Roman" w:hAnsi="Times New Roman" w:cs="Times New Roman"/>
          <w:i/>
          <w:iCs/>
          <w:color w:val="000000" w:themeColor="text1"/>
          <w:sz w:val="17"/>
          <w:szCs w:val="17"/>
        </w:rPr>
        <w:t>Environmental Toxicology and Pharmacology, 126</w:t>
      </w:r>
      <w:r w:rsidRPr="0070357C">
        <w:rPr>
          <w:rFonts w:ascii="Times New Roman" w:eastAsia="Times New Roman" w:hAnsi="Times New Roman" w:cs="Times New Roman"/>
          <w:color w:val="000000" w:themeColor="text1"/>
          <w:sz w:val="17"/>
          <w:szCs w:val="17"/>
        </w:rPr>
        <w:t xml:space="preserve">, 105142. </w:t>
      </w:r>
      <w:hyperlink r:id="rId19" w:history="1">
        <w:r w:rsidRPr="0070357C">
          <w:rPr>
            <w:rFonts w:ascii="Times New Roman" w:eastAsia="Times New Roman" w:hAnsi="Times New Roman" w:cs="Times New Roman"/>
            <w:color w:val="000000" w:themeColor="text1"/>
            <w:sz w:val="17"/>
            <w:szCs w:val="17"/>
          </w:rPr>
          <w:t>https://doi.org/10.1016/j.etap.2026.105142</w:t>
        </w:r>
      </w:hyperlink>
    </w:p>
    <w:p w14:paraId="4D56B4FB"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Bhat, S., </w:t>
      </w:r>
      <w:proofErr w:type="spellStart"/>
      <w:r w:rsidRPr="0070357C">
        <w:rPr>
          <w:rFonts w:ascii="Times New Roman" w:eastAsia="Times New Roman" w:hAnsi="Times New Roman" w:cs="Times New Roman"/>
          <w:color w:val="000000" w:themeColor="text1"/>
          <w:sz w:val="17"/>
          <w:szCs w:val="17"/>
        </w:rPr>
        <w:t>Paschapur</w:t>
      </w:r>
      <w:proofErr w:type="spellEnd"/>
      <w:r w:rsidRPr="0070357C">
        <w:rPr>
          <w:rFonts w:ascii="Times New Roman" w:eastAsia="Times New Roman" w:hAnsi="Times New Roman" w:cs="Times New Roman"/>
          <w:color w:val="000000" w:themeColor="text1"/>
          <w:sz w:val="17"/>
          <w:szCs w:val="17"/>
        </w:rPr>
        <w:t xml:space="preserve">, A. U., Singh, A. K., Dev, R., Mishra, K. K., &amp; Kant, L. (2025). Influence of honeybees and wild pollinators on coriander pollination in the Indian Himalayan region. </w:t>
      </w:r>
      <w:proofErr w:type="spellStart"/>
      <w:r w:rsidRPr="0070357C">
        <w:rPr>
          <w:rFonts w:ascii="Times New Roman" w:eastAsia="Times New Roman" w:hAnsi="Times New Roman" w:cs="Times New Roman"/>
          <w:i/>
          <w:iCs/>
          <w:color w:val="000000" w:themeColor="text1"/>
          <w:sz w:val="17"/>
          <w:szCs w:val="17"/>
        </w:rPr>
        <w:t>Entomologia</w:t>
      </w:r>
      <w:proofErr w:type="spellEnd"/>
      <w:r w:rsidRPr="0070357C">
        <w:rPr>
          <w:rFonts w:ascii="Times New Roman" w:eastAsia="Times New Roman" w:hAnsi="Times New Roman" w:cs="Times New Roman"/>
          <w:i/>
          <w:iCs/>
          <w:color w:val="000000" w:themeColor="text1"/>
          <w:sz w:val="17"/>
          <w:szCs w:val="17"/>
        </w:rPr>
        <w:t xml:space="preserve"> </w:t>
      </w:r>
      <w:proofErr w:type="spellStart"/>
      <w:r w:rsidRPr="0070357C">
        <w:rPr>
          <w:rFonts w:ascii="Times New Roman" w:eastAsia="Times New Roman" w:hAnsi="Times New Roman" w:cs="Times New Roman"/>
          <w:i/>
          <w:iCs/>
          <w:color w:val="000000" w:themeColor="text1"/>
          <w:sz w:val="17"/>
          <w:szCs w:val="17"/>
        </w:rPr>
        <w:t>Experimentalis</w:t>
      </w:r>
      <w:proofErr w:type="spellEnd"/>
      <w:r w:rsidRPr="0070357C">
        <w:rPr>
          <w:rFonts w:ascii="Times New Roman" w:eastAsia="Times New Roman" w:hAnsi="Times New Roman" w:cs="Times New Roman"/>
          <w:i/>
          <w:iCs/>
          <w:color w:val="000000" w:themeColor="text1"/>
          <w:sz w:val="17"/>
          <w:szCs w:val="17"/>
        </w:rPr>
        <w:t xml:space="preserve"> et </w:t>
      </w:r>
      <w:proofErr w:type="spellStart"/>
      <w:r w:rsidRPr="0070357C">
        <w:rPr>
          <w:rFonts w:ascii="Times New Roman" w:eastAsia="Times New Roman" w:hAnsi="Times New Roman" w:cs="Times New Roman"/>
          <w:i/>
          <w:iCs/>
          <w:color w:val="000000" w:themeColor="text1"/>
          <w:sz w:val="17"/>
          <w:szCs w:val="17"/>
        </w:rPr>
        <w:t>Applicata</w:t>
      </w:r>
      <w:proofErr w:type="spellEnd"/>
      <w:r w:rsidRPr="0070357C">
        <w:rPr>
          <w:rFonts w:ascii="Times New Roman" w:eastAsia="Times New Roman" w:hAnsi="Times New Roman" w:cs="Times New Roman"/>
          <w:i/>
          <w:iCs/>
          <w:color w:val="000000" w:themeColor="text1"/>
          <w:sz w:val="17"/>
          <w:szCs w:val="17"/>
        </w:rPr>
        <w:t>, 173</w:t>
      </w:r>
      <w:r w:rsidRPr="0070357C">
        <w:rPr>
          <w:rFonts w:ascii="Times New Roman" w:eastAsia="Times New Roman" w:hAnsi="Times New Roman" w:cs="Times New Roman"/>
          <w:color w:val="000000" w:themeColor="text1"/>
          <w:sz w:val="17"/>
          <w:szCs w:val="17"/>
        </w:rPr>
        <w:t xml:space="preserve">(10), 1074–1082. </w:t>
      </w:r>
      <w:hyperlink r:id="rId20" w:history="1">
        <w:r w:rsidRPr="0070357C">
          <w:rPr>
            <w:rFonts w:ascii="Times New Roman" w:eastAsia="Times New Roman" w:hAnsi="Times New Roman" w:cs="Times New Roman"/>
            <w:color w:val="000000" w:themeColor="text1"/>
            <w:sz w:val="17"/>
            <w:szCs w:val="17"/>
          </w:rPr>
          <w:t>https://doi.org/10.1111/eea.70001</w:t>
        </w:r>
      </w:hyperlink>
    </w:p>
    <w:p w14:paraId="1269DC13"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proofErr w:type="spellStart"/>
      <w:r w:rsidRPr="00D354FA">
        <w:rPr>
          <w:rFonts w:ascii="Times New Roman" w:eastAsia="Times New Roman" w:hAnsi="Times New Roman" w:cs="Times New Roman"/>
          <w:color w:val="000000" w:themeColor="text1"/>
          <w:sz w:val="17"/>
          <w:szCs w:val="17"/>
          <w:lang w:val="en-GB"/>
        </w:rPr>
        <w:t>Blacquière</w:t>
      </w:r>
      <w:proofErr w:type="spellEnd"/>
      <w:r w:rsidRPr="00D354FA">
        <w:rPr>
          <w:rFonts w:ascii="Times New Roman" w:eastAsia="Times New Roman" w:hAnsi="Times New Roman" w:cs="Times New Roman"/>
          <w:color w:val="000000" w:themeColor="text1"/>
          <w:sz w:val="17"/>
          <w:szCs w:val="17"/>
          <w:lang w:val="en-GB"/>
        </w:rPr>
        <w:t xml:space="preserve">, T., </w:t>
      </w:r>
      <w:proofErr w:type="spellStart"/>
      <w:r w:rsidRPr="00D354FA">
        <w:rPr>
          <w:rFonts w:ascii="Times New Roman" w:eastAsia="Times New Roman" w:hAnsi="Times New Roman" w:cs="Times New Roman"/>
          <w:color w:val="000000" w:themeColor="text1"/>
          <w:sz w:val="17"/>
          <w:szCs w:val="17"/>
          <w:lang w:val="en-GB"/>
        </w:rPr>
        <w:t>Smagghe</w:t>
      </w:r>
      <w:proofErr w:type="spellEnd"/>
      <w:r w:rsidRPr="00D354FA">
        <w:rPr>
          <w:rFonts w:ascii="Times New Roman" w:eastAsia="Times New Roman" w:hAnsi="Times New Roman" w:cs="Times New Roman"/>
          <w:color w:val="000000" w:themeColor="text1"/>
          <w:sz w:val="17"/>
          <w:szCs w:val="17"/>
          <w:lang w:val="en-GB"/>
        </w:rPr>
        <w:t xml:space="preserve">, G., van </w:t>
      </w:r>
      <w:proofErr w:type="spellStart"/>
      <w:r w:rsidRPr="00D354FA">
        <w:rPr>
          <w:rFonts w:ascii="Times New Roman" w:eastAsia="Times New Roman" w:hAnsi="Times New Roman" w:cs="Times New Roman"/>
          <w:color w:val="000000" w:themeColor="text1"/>
          <w:sz w:val="17"/>
          <w:szCs w:val="17"/>
          <w:lang w:val="en-GB"/>
        </w:rPr>
        <w:t>Gestel</w:t>
      </w:r>
      <w:proofErr w:type="spellEnd"/>
      <w:r w:rsidRPr="00D354FA">
        <w:rPr>
          <w:rFonts w:ascii="Times New Roman" w:eastAsia="Times New Roman" w:hAnsi="Times New Roman" w:cs="Times New Roman"/>
          <w:color w:val="000000" w:themeColor="text1"/>
          <w:sz w:val="17"/>
          <w:szCs w:val="17"/>
          <w:lang w:val="en-GB"/>
        </w:rPr>
        <w:t xml:space="preserve">, C. A. M., &amp; Mommaerts, V. (2012). </w:t>
      </w:r>
      <w:r w:rsidRPr="0070357C">
        <w:rPr>
          <w:rFonts w:ascii="Times New Roman" w:eastAsia="Times New Roman" w:hAnsi="Times New Roman" w:cs="Times New Roman"/>
          <w:color w:val="000000" w:themeColor="text1"/>
          <w:sz w:val="17"/>
          <w:szCs w:val="17"/>
        </w:rPr>
        <w:t xml:space="preserve">Neonicotinoids in bees: A review on concentrations, side-effects and risk assessment. </w:t>
      </w:r>
      <w:r w:rsidRPr="0070357C">
        <w:rPr>
          <w:rFonts w:ascii="Times New Roman" w:eastAsia="Times New Roman" w:hAnsi="Times New Roman" w:cs="Times New Roman"/>
          <w:i/>
          <w:iCs/>
          <w:color w:val="000000" w:themeColor="text1"/>
          <w:sz w:val="17"/>
          <w:szCs w:val="17"/>
        </w:rPr>
        <w:t>Ecotoxicology, 21</w:t>
      </w:r>
      <w:r w:rsidRPr="0070357C">
        <w:rPr>
          <w:rFonts w:ascii="Times New Roman" w:eastAsia="Times New Roman" w:hAnsi="Times New Roman" w:cs="Times New Roman"/>
          <w:color w:val="000000" w:themeColor="text1"/>
          <w:sz w:val="17"/>
          <w:szCs w:val="17"/>
        </w:rPr>
        <w:t xml:space="preserve">(4), 973–992. </w:t>
      </w:r>
      <w:hyperlink r:id="rId21" w:history="1">
        <w:r w:rsidRPr="0070357C">
          <w:rPr>
            <w:rFonts w:ascii="Times New Roman" w:eastAsia="Times New Roman" w:hAnsi="Times New Roman" w:cs="Times New Roman"/>
            <w:color w:val="000000" w:themeColor="text1"/>
            <w:sz w:val="17"/>
            <w:szCs w:val="17"/>
          </w:rPr>
          <w:t>https://doi.org/10.1007/s10646-012-0863-x</w:t>
        </w:r>
      </w:hyperlink>
    </w:p>
    <w:p w14:paraId="022C850C"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Calderone, N. W. (2012). Insect pollinated crops, insect pollinators and US agriculture: Trend analysis of aggregate data for the period 1992–2009. </w:t>
      </w:r>
      <w:r w:rsidRPr="0070357C">
        <w:rPr>
          <w:rFonts w:ascii="Times New Roman" w:eastAsia="Times New Roman" w:hAnsi="Times New Roman" w:cs="Times New Roman"/>
          <w:i/>
          <w:iCs/>
          <w:color w:val="000000" w:themeColor="text1"/>
          <w:sz w:val="17"/>
          <w:szCs w:val="17"/>
        </w:rPr>
        <w:t>PLOS ONE, 7</w:t>
      </w:r>
      <w:r w:rsidRPr="0070357C">
        <w:rPr>
          <w:rFonts w:ascii="Times New Roman" w:eastAsia="Times New Roman" w:hAnsi="Times New Roman" w:cs="Times New Roman"/>
          <w:color w:val="000000" w:themeColor="text1"/>
          <w:sz w:val="17"/>
          <w:szCs w:val="17"/>
        </w:rPr>
        <w:t xml:space="preserve">(5), e37235. </w:t>
      </w:r>
      <w:hyperlink r:id="rId22" w:history="1">
        <w:r w:rsidRPr="0070357C">
          <w:rPr>
            <w:rFonts w:ascii="Times New Roman" w:eastAsia="Times New Roman" w:hAnsi="Times New Roman" w:cs="Times New Roman"/>
            <w:color w:val="000000" w:themeColor="text1"/>
            <w:sz w:val="17"/>
            <w:szCs w:val="17"/>
          </w:rPr>
          <w:t>https://doi.org/10.1371/journal.pone.0037235</w:t>
        </w:r>
      </w:hyperlink>
    </w:p>
    <w:p w14:paraId="00F8BD0F"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Cappa, F., &amp; </w:t>
      </w:r>
      <w:proofErr w:type="spellStart"/>
      <w:r w:rsidRPr="0070357C">
        <w:rPr>
          <w:rFonts w:ascii="Times New Roman" w:eastAsia="Times New Roman" w:hAnsi="Times New Roman" w:cs="Times New Roman"/>
          <w:color w:val="000000" w:themeColor="text1"/>
          <w:sz w:val="17"/>
          <w:szCs w:val="17"/>
        </w:rPr>
        <w:t>Baracchi</w:t>
      </w:r>
      <w:proofErr w:type="spellEnd"/>
      <w:r w:rsidRPr="0070357C">
        <w:rPr>
          <w:rFonts w:ascii="Times New Roman" w:eastAsia="Times New Roman" w:hAnsi="Times New Roman" w:cs="Times New Roman"/>
          <w:color w:val="000000" w:themeColor="text1"/>
          <w:sz w:val="17"/>
          <w:szCs w:val="17"/>
        </w:rPr>
        <w:t xml:space="preserve">, D. (2024). Bioinsecticides on honey bees: Exposure, sublethal effects, and risk assessment paradigms. </w:t>
      </w:r>
      <w:r w:rsidRPr="0070357C">
        <w:rPr>
          <w:rFonts w:ascii="Times New Roman" w:eastAsia="Times New Roman" w:hAnsi="Times New Roman" w:cs="Times New Roman"/>
          <w:i/>
          <w:iCs/>
          <w:color w:val="000000" w:themeColor="text1"/>
          <w:sz w:val="17"/>
          <w:szCs w:val="17"/>
        </w:rPr>
        <w:t>Current Opinion in Environmental Science &amp; Health, 41</w:t>
      </w:r>
      <w:r w:rsidRPr="0070357C">
        <w:rPr>
          <w:rFonts w:ascii="Times New Roman" w:eastAsia="Times New Roman" w:hAnsi="Times New Roman" w:cs="Times New Roman"/>
          <w:color w:val="000000" w:themeColor="text1"/>
          <w:sz w:val="17"/>
          <w:szCs w:val="17"/>
        </w:rPr>
        <w:t xml:space="preserve">, 100569. </w:t>
      </w:r>
      <w:hyperlink r:id="rId23" w:history="1">
        <w:r w:rsidRPr="0070357C">
          <w:rPr>
            <w:rFonts w:ascii="Times New Roman" w:eastAsia="Times New Roman" w:hAnsi="Times New Roman" w:cs="Times New Roman"/>
            <w:color w:val="000000" w:themeColor="text1"/>
            <w:sz w:val="17"/>
            <w:szCs w:val="17"/>
          </w:rPr>
          <w:t>https://doi.org/10.1016/j.coesh.2024.100569</w:t>
        </w:r>
      </w:hyperlink>
    </w:p>
    <w:p w14:paraId="6179958F"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Chauhan, A., &amp; Singh, H. K. (2022). Stingless bee </w:t>
      </w:r>
      <w:proofErr w:type="spellStart"/>
      <w:r w:rsidRPr="0070357C">
        <w:rPr>
          <w:rFonts w:ascii="Times New Roman" w:eastAsia="Times New Roman" w:hAnsi="Times New Roman" w:cs="Times New Roman"/>
          <w:i/>
          <w:iCs/>
          <w:color w:val="000000" w:themeColor="text1"/>
          <w:sz w:val="17"/>
          <w:szCs w:val="17"/>
        </w:rPr>
        <w:t>Tetragonula</w:t>
      </w:r>
      <w:proofErr w:type="spellEnd"/>
      <w:r w:rsidRPr="0070357C">
        <w:rPr>
          <w:rFonts w:ascii="Times New Roman" w:eastAsia="Times New Roman" w:hAnsi="Times New Roman" w:cs="Times New Roman"/>
          <w:i/>
          <w:iCs/>
          <w:color w:val="000000" w:themeColor="text1"/>
          <w:sz w:val="17"/>
          <w:szCs w:val="17"/>
        </w:rPr>
        <w:t xml:space="preserve"> </w:t>
      </w:r>
      <w:proofErr w:type="spellStart"/>
      <w:r w:rsidRPr="0070357C">
        <w:rPr>
          <w:rFonts w:ascii="Times New Roman" w:eastAsia="Times New Roman" w:hAnsi="Times New Roman" w:cs="Times New Roman"/>
          <w:i/>
          <w:iCs/>
          <w:color w:val="000000" w:themeColor="text1"/>
          <w:sz w:val="17"/>
          <w:szCs w:val="17"/>
        </w:rPr>
        <w:t>iridipennis</w:t>
      </w:r>
      <w:proofErr w:type="spellEnd"/>
      <w:r w:rsidRPr="0070357C">
        <w:rPr>
          <w:rFonts w:ascii="Times New Roman" w:eastAsia="Times New Roman" w:hAnsi="Times New Roman" w:cs="Times New Roman"/>
          <w:color w:val="000000" w:themeColor="text1"/>
          <w:sz w:val="17"/>
          <w:szCs w:val="17"/>
        </w:rPr>
        <w:t xml:space="preserve"> and honey bee </w:t>
      </w:r>
      <w:r w:rsidRPr="0070357C">
        <w:rPr>
          <w:rFonts w:ascii="Times New Roman" w:eastAsia="Times New Roman" w:hAnsi="Times New Roman" w:cs="Times New Roman"/>
          <w:i/>
          <w:iCs/>
          <w:color w:val="000000" w:themeColor="text1"/>
          <w:sz w:val="17"/>
          <w:szCs w:val="17"/>
        </w:rPr>
        <w:t>Apis cerana</w:t>
      </w:r>
      <w:r w:rsidRPr="0070357C">
        <w:rPr>
          <w:rFonts w:ascii="Times New Roman" w:eastAsia="Times New Roman" w:hAnsi="Times New Roman" w:cs="Times New Roman"/>
          <w:color w:val="000000" w:themeColor="text1"/>
          <w:sz w:val="17"/>
          <w:szCs w:val="17"/>
        </w:rPr>
        <w:t xml:space="preserve"> pollination in cucumber. </w:t>
      </w:r>
      <w:r w:rsidRPr="0070357C">
        <w:rPr>
          <w:rFonts w:ascii="Times New Roman" w:eastAsia="Times New Roman" w:hAnsi="Times New Roman" w:cs="Times New Roman"/>
          <w:i/>
          <w:iCs/>
          <w:color w:val="000000" w:themeColor="text1"/>
          <w:sz w:val="17"/>
          <w:szCs w:val="17"/>
        </w:rPr>
        <w:t>Indian Journal of Entomology, 84</w:t>
      </w:r>
      <w:r w:rsidRPr="0070357C">
        <w:rPr>
          <w:rFonts w:ascii="Times New Roman" w:eastAsia="Times New Roman" w:hAnsi="Times New Roman" w:cs="Times New Roman"/>
          <w:color w:val="000000" w:themeColor="text1"/>
          <w:sz w:val="17"/>
          <w:szCs w:val="17"/>
        </w:rPr>
        <w:t xml:space="preserve">(3), 546–550. </w:t>
      </w:r>
      <w:hyperlink r:id="rId24" w:history="1">
        <w:r w:rsidRPr="0070357C">
          <w:rPr>
            <w:rFonts w:ascii="Times New Roman" w:eastAsia="Times New Roman" w:hAnsi="Times New Roman" w:cs="Times New Roman"/>
            <w:color w:val="000000" w:themeColor="text1"/>
            <w:sz w:val="17"/>
            <w:szCs w:val="17"/>
          </w:rPr>
          <w:t>https://doi.org/10.55446/IJE.2021.282</w:t>
        </w:r>
      </w:hyperlink>
    </w:p>
    <w:p w14:paraId="106B66C3"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proofErr w:type="spellStart"/>
      <w:r w:rsidRPr="0070357C">
        <w:rPr>
          <w:rFonts w:ascii="Times New Roman" w:eastAsia="Times New Roman" w:hAnsi="Times New Roman" w:cs="Times New Roman"/>
          <w:color w:val="000000" w:themeColor="text1"/>
          <w:sz w:val="17"/>
          <w:szCs w:val="17"/>
        </w:rPr>
        <w:t>DeGrandi</w:t>
      </w:r>
      <w:proofErr w:type="spellEnd"/>
      <w:r w:rsidRPr="0070357C">
        <w:rPr>
          <w:rFonts w:ascii="Times New Roman" w:eastAsia="Times New Roman" w:hAnsi="Times New Roman" w:cs="Times New Roman"/>
          <w:color w:val="000000" w:themeColor="text1"/>
          <w:sz w:val="17"/>
          <w:szCs w:val="17"/>
        </w:rPr>
        <w:t xml:space="preserve">-Hoffman, G., &amp; Chen, Y. (2015). Nutrition, immunity and viral infections in honey bees. </w:t>
      </w:r>
      <w:r w:rsidRPr="0070357C">
        <w:rPr>
          <w:rFonts w:ascii="Times New Roman" w:eastAsia="Times New Roman" w:hAnsi="Times New Roman" w:cs="Times New Roman"/>
          <w:i/>
          <w:iCs/>
          <w:color w:val="000000" w:themeColor="text1"/>
          <w:sz w:val="17"/>
          <w:szCs w:val="17"/>
        </w:rPr>
        <w:t>Current Opinion in Insect Science, 10</w:t>
      </w:r>
      <w:r w:rsidRPr="0070357C">
        <w:rPr>
          <w:rFonts w:ascii="Times New Roman" w:eastAsia="Times New Roman" w:hAnsi="Times New Roman" w:cs="Times New Roman"/>
          <w:color w:val="000000" w:themeColor="text1"/>
          <w:sz w:val="17"/>
          <w:szCs w:val="17"/>
        </w:rPr>
        <w:t xml:space="preserve">, 170–176. </w:t>
      </w:r>
      <w:hyperlink r:id="rId25" w:history="1">
        <w:r w:rsidRPr="0070357C">
          <w:rPr>
            <w:rFonts w:ascii="Times New Roman" w:eastAsia="Times New Roman" w:hAnsi="Times New Roman" w:cs="Times New Roman"/>
            <w:color w:val="000000" w:themeColor="text1"/>
            <w:sz w:val="17"/>
            <w:szCs w:val="17"/>
          </w:rPr>
          <w:t>https://doi.org/10.1016/j.cois.2015.05.007</w:t>
        </w:r>
      </w:hyperlink>
    </w:p>
    <w:p w14:paraId="03520915"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proofErr w:type="spellStart"/>
      <w:r w:rsidRPr="0070357C">
        <w:rPr>
          <w:rFonts w:ascii="Times New Roman" w:eastAsia="Times New Roman" w:hAnsi="Times New Roman" w:cs="Times New Roman"/>
          <w:color w:val="000000" w:themeColor="text1"/>
          <w:sz w:val="17"/>
          <w:szCs w:val="17"/>
        </w:rPr>
        <w:t>Dirilgen</w:t>
      </w:r>
      <w:proofErr w:type="spellEnd"/>
      <w:r w:rsidRPr="0070357C">
        <w:rPr>
          <w:rFonts w:ascii="Times New Roman" w:eastAsia="Times New Roman" w:hAnsi="Times New Roman" w:cs="Times New Roman"/>
          <w:color w:val="000000" w:themeColor="text1"/>
          <w:sz w:val="17"/>
          <w:szCs w:val="17"/>
        </w:rPr>
        <w:t xml:space="preserve">, T., Herbertsson, L., O'Reilly, A. D., Mahon, N., &amp; Stanley, D. A. (2023). Moving past neonicotinoids and honeybees: A systematic review of existing research on other insecticides and bees. </w:t>
      </w:r>
      <w:r w:rsidRPr="0070357C">
        <w:rPr>
          <w:rFonts w:ascii="Times New Roman" w:eastAsia="Times New Roman" w:hAnsi="Times New Roman" w:cs="Times New Roman"/>
          <w:i/>
          <w:iCs/>
          <w:color w:val="000000" w:themeColor="text1"/>
          <w:sz w:val="17"/>
          <w:szCs w:val="17"/>
        </w:rPr>
        <w:t>Environmental Research, 235</w:t>
      </w:r>
      <w:r w:rsidRPr="0070357C">
        <w:rPr>
          <w:rFonts w:ascii="Times New Roman" w:eastAsia="Times New Roman" w:hAnsi="Times New Roman" w:cs="Times New Roman"/>
          <w:color w:val="000000" w:themeColor="text1"/>
          <w:sz w:val="17"/>
          <w:szCs w:val="17"/>
        </w:rPr>
        <w:t xml:space="preserve">, 116612. </w:t>
      </w:r>
      <w:hyperlink r:id="rId26" w:history="1">
        <w:r w:rsidRPr="0070357C">
          <w:rPr>
            <w:rFonts w:ascii="Times New Roman" w:eastAsia="Times New Roman" w:hAnsi="Times New Roman" w:cs="Times New Roman"/>
            <w:color w:val="000000" w:themeColor="text1"/>
            <w:sz w:val="17"/>
            <w:szCs w:val="17"/>
          </w:rPr>
          <w:t>https://doi.org/10.1016/j.envres.2023.116612</w:t>
        </w:r>
      </w:hyperlink>
    </w:p>
    <w:p w14:paraId="7D330D9E"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D354FA">
        <w:rPr>
          <w:rFonts w:ascii="Times New Roman" w:eastAsia="Times New Roman" w:hAnsi="Times New Roman" w:cs="Times New Roman"/>
          <w:color w:val="000000" w:themeColor="text1"/>
          <w:sz w:val="17"/>
          <w:szCs w:val="17"/>
          <w:lang w:val="en-GB"/>
        </w:rPr>
        <w:t xml:space="preserve">Foster, L. J., Tsvetkov, N., &amp; McAfee, A. (2024). </w:t>
      </w:r>
      <w:r w:rsidRPr="0070357C">
        <w:rPr>
          <w:rFonts w:ascii="Times New Roman" w:eastAsia="Times New Roman" w:hAnsi="Times New Roman" w:cs="Times New Roman"/>
          <w:color w:val="000000" w:themeColor="text1"/>
          <w:sz w:val="17"/>
          <w:szCs w:val="17"/>
        </w:rPr>
        <w:t xml:space="preserve">Mechanisms of pathogen and pesticide resistance in honey bees. </w:t>
      </w:r>
      <w:r w:rsidRPr="0070357C">
        <w:rPr>
          <w:rFonts w:ascii="Times New Roman" w:eastAsia="Times New Roman" w:hAnsi="Times New Roman" w:cs="Times New Roman"/>
          <w:i/>
          <w:iCs/>
          <w:color w:val="000000" w:themeColor="text1"/>
          <w:sz w:val="17"/>
          <w:szCs w:val="17"/>
        </w:rPr>
        <w:t>Physiology, 39</w:t>
      </w:r>
      <w:r w:rsidRPr="0070357C">
        <w:rPr>
          <w:rFonts w:ascii="Times New Roman" w:eastAsia="Times New Roman" w:hAnsi="Times New Roman" w:cs="Times New Roman"/>
          <w:color w:val="000000" w:themeColor="text1"/>
          <w:sz w:val="17"/>
          <w:szCs w:val="17"/>
        </w:rPr>
        <w:t xml:space="preserve">(4), 193–207. </w:t>
      </w:r>
      <w:hyperlink r:id="rId27" w:history="1">
        <w:r w:rsidRPr="0070357C">
          <w:rPr>
            <w:rFonts w:ascii="Times New Roman" w:eastAsia="Times New Roman" w:hAnsi="Times New Roman" w:cs="Times New Roman"/>
            <w:color w:val="000000" w:themeColor="text1"/>
            <w:sz w:val="17"/>
            <w:szCs w:val="17"/>
          </w:rPr>
          <w:t>https://doi.org/10.1152/physiol.00033.2023</w:t>
        </w:r>
      </w:hyperlink>
    </w:p>
    <w:p w14:paraId="2A9E5FF0"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Ghosh, S., Abrol, D. P., &amp; Jung, C. (2025). The state of beekeeping in India: Insights, gaps, and emerging opportunities. </w:t>
      </w:r>
      <w:r w:rsidRPr="0070357C">
        <w:rPr>
          <w:rFonts w:ascii="Times New Roman" w:eastAsia="Times New Roman" w:hAnsi="Times New Roman" w:cs="Times New Roman"/>
          <w:i/>
          <w:iCs/>
          <w:color w:val="000000" w:themeColor="text1"/>
          <w:sz w:val="17"/>
          <w:szCs w:val="17"/>
        </w:rPr>
        <w:t>Entomological Research, 55</w:t>
      </w:r>
      <w:r w:rsidRPr="0070357C">
        <w:rPr>
          <w:rFonts w:ascii="Times New Roman" w:eastAsia="Times New Roman" w:hAnsi="Times New Roman" w:cs="Times New Roman"/>
          <w:color w:val="000000" w:themeColor="text1"/>
          <w:sz w:val="17"/>
          <w:szCs w:val="17"/>
        </w:rPr>
        <w:t xml:space="preserve">(10), e70069. </w:t>
      </w:r>
      <w:hyperlink r:id="rId28" w:history="1">
        <w:r w:rsidRPr="0070357C">
          <w:rPr>
            <w:rFonts w:ascii="Times New Roman" w:eastAsia="Times New Roman" w:hAnsi="Times New Roman" w:cs="Times New Roman"/>
            <w:color w:val="000000" w:themeColor="text1"/>
            <w:sz w:val="17"/>
            <w:szCs w:val="17"/>
          </w:rPr>
          <w:t>https://doi.org/10.1111/1748-5967.70069</w:t>
        </w:r>
      </w:hyperlink>
    </w:p>
    <w:p w14:paraId="18D33635"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Giri, G. S., Bhatt, B., Mall, P., &amp; Pandey, R. (2018). Effect of thiamethoxam on foraging activity and mortality of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(L.). </w:t>
      </w:r>
      <w:r w:rsidRPr="0070357C">
        <w:rPr>
          <w:rFonts w:ascii="Times New Roman" w:eastAsia="Times New Roman" w:hAnsi="Times New Roman" w:cs="Times New Roman"/>
          <w:i/>
          <w:iCs/>
          <w:color w:val="000000" w:themeColor="text1"/>
          <w:sz w:val="17"/>
          <w:szCs w:val="17"/>
        </w:rPr>
        <w:t>Indian Journal of Agricultural Research, 52</w:t>
      </w:r>
      <w:r w:rsidRPr="0070357C">
        <w:rPr>
          <w:rFonts w:ascii="Times New Roman" w:eastAsia="Times New Roman" w:hAnsi="Times New Roman" w:cs="Times New Roman"/>
          <w:color w:val="000000" w:themeColor="text1"/>
          <w:sz w:val="17"/>
          <w:szCs w:val="17"/>
        </w:rPr>
        <w:t xml:space="preserve">(2), 215–217. </w:t>
      </w:r>
      <w:hyperlink r:id="rId29" w:history="1">
        <w:r w:rsidRPr="0070357C">
          <w:rPr>
            <w:rFonts w:ascii="Times New Roman" w:eastAsia="Times New Roman" w:hAnsi="Times New Roman" w:cs="Times New Roman"/>
            <w:color w:val="000000" w:themeColor="text1"/>
            <w:sz w:val="17"/>
            <w:szCs w:val="17"/>
          </w:rPr>
          <w:t>https://doi.org/10.18805/IJARe.A-4907</w:t>
        </w:r>
      </w:hyperlink>
    </w:p>
    <w:p w14:paraId="79D355AF"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Goulson, D., Nicholls, E., </w:t>
      </w:r>
      <w:proofErr w:type="spellStart"/>
      <w:r w:rsidRPr="0070357C">
        <w:rPr>
          <w:rFonts w:ascii="Times New Roman" w:eastAsia="Times New Roman" w:hAnsi="Times New Roman" w:cs="Times New Roman"/>
          <w:color w:val="000000" w:themeColor="text1"/>
          <w:sz w:val="17"/>
          <w:szCs w:val="17"/>
        </w:rPr>
        <w:t>Botías</w:t>
      </w:r>
      <w:proofErr w:type="spellEnd"/>
      <w:r w:rsidRPr="0070357C">
        <w:rPr>
          <w:rFonts w:ascii="Times New Roman" w:eastAsia="Times New Roman" w:hAnsi="Times New Roman" w:cs="Times New Roman"/>
          <w:color w:val="000000" w:themeColor="text1"/>
          <w:sz w:val="17"/>
          <w:szCs w:val="17"/>
        </w:rPr>
        <w:t xml:space="preserve">, C., &amp; </w:t>
      </w:r>
      <w:proofErr w:type="spellStart"/>
      <w:r w:rsidRPr="0070357C">
        <w:rPr>
          <w:rFonts w:ascii="Times New Roman" w:eastAsia="Times New Roman" w:hAnsi="Times New Roman" w:cs="Times New Roman"/>
          <w:color w:val="000000" w:themeColor="text1"/>
          <w:sz w:val="17"/>
          <w:szCs w:val="17"/>
        </w:rPr>
        <w:t>Rotheray</w:t>
      </w:r>
      <w:proofErr w:type="spellEnd"/>
      <w:r w:rsidRPr="0070357C">
        <w:rPr>
          <w:rFonts w:ascii="Times New Roman" w:eastAsia="Times New Roman" w:hAnsi="Times New Roman" w:cs="Times New Roman"/>
          <w:color w:val="000000" w:themeColor="text1"/>
          <w:sz w:val="17"/>
          <w:szCs w:val="17"/>
        </w:rPr>
        <w:t xml:space="preserve">, E. L. (2015). Bee declines driven by combined stress from parasites, pesticides, and lack of flowers. </w:t>
      </w:r>
      <w:r w:rsidRPr="0070357C">
        <w:rPr>
          <w:rFonts w:ascii="Times New Roman" w:eastAsia="Times New Roman" w:hAnsi="Times New Roman" w:cs="Times New Roman"/>
          <w:i/>
          <w:iCs/>
          <w:color w:val="000000" w:themeColor="text1"/>
          <w:sz w:val="17"/>
          <w:szCs w:val="17"/>
        </w:rPr>
        <w:t>Science, 347</w:t>
      </w:r>
      <w:r w:rsidRPr="0070357C">
        <w:rPr>
          <w:rFonts w:ascii="Times New Roman" w:eastAsia="Times New Roman" w:hAnsi="Times New Roman" w:cs="Times New Roman"/>
          <w:color w:val="000000" w:themeColor="text1"/>
          <w:sz w:val="17"/>
          <w:szCs w:val="17"/>
        </w:rPr>
        <w:t xml:space="preserve">(6229), 1255957. </w:t>
      </w:r>
      <w:hyperlink r:id="rId30" w:history="1">
        <w:r w:rsidRPr="0070357C">
          <w:rPr>
            <w:rFonts w:ascii="Times New Roman" w:eastAsia="Times New Roman" w:hAnsi="Times New Roman" w:cs="Times New Roman"/>
            <w:color w:val="000000" w:themeColor="text1"/>
            <w:sz w:val="17"/>
            <w:szCs w:val="17"/>
          </w:rPr>
          <w:t>https://doi.org/10.1126/science.1255957</w:t>
        </w:r>
      </w:hyperlink>
    </w:p>
    <w:p w14:paraId="3B8B10E3"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D354FA">
        <w:rPr>
          <w:rFonts w:ascii="Times New Roman" w:eastAsia="Times New Roman" w:hAnsi="Times New Roman" w:cs="Times New Roman"/>
          <w:color w:val="000000" w:themeColor="text1"/>
          <w:sz w:val="17"/>
          <w:szCs w:val="17"/>
          <w:lang w:val="en-GB"/>
        </w:rPr>
        <w:t xml:space="preserve">Hsieh, E. M., &amp; Dolezal, A. G. (2024). </w:t>
      </w:r>
      <w:r w:rsidRPr="0070357C">
        <w:rPr>
          <w:rFonts w:ascii="Times New Roman" w:eastAsia="Times New Roman" w:hAnsi="Times New Roman" w:cs="Times New Roman"/>
          <w:color w:val="000000" w:themeColor="text1"/>
          <w:sz w:val="17"/>
          <w:szCs w:val="17"/>
        </w:rPr>
        <w:t>Nutrition, pesticide exposure, and virus infection interact to produce context-dependent effects in honey bees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w:t>
      </w:r>
      <w:r w:rsidRPr="0070357C">
        <w:rPr>
          <w:rFonts w:ascii="Times New Roman" w:eastAsia="Times New Roman" w:hAnsi="Times New Roman" w:cs="Times New Roman"/>
          <w:i/>
          <w:iCs/>
          <w:color w:val="000000" w:themeColor="text1"/>
          <w:sz w:val="17"/>
          <w:szCs w:val="17"/>
        </w:rPr>
        <w:t>Science of the Total Environment, 949</w:t>
      </w:r>
      <w:r w:rsidRPr="0070357C">
        <w:rPr>
          <w:rFonts w:ascii="Times New Roman" w:eastAsia="Times New Roman" w:hAnsi="Times New Roman" w:cs="Times New Roman"/>
          <w:color w:val="000000" w:themeColor="text1"/>
          <w:sz w:val="17"/>
          <w:szCs w:val="17"/>
        </w:rPr>
        <w:t xml:space="preserve">, 175125. </w:t>
      </w:r>
      <w:hyperlink r:id="rId31" w:history="1">
        <w:r w:rsidRPr="0070357C">
          <w:rPr>
            <w:rFonts w:ascii="Times New Roman" w:eastAsia="Times New Roman" w:hAnsi="Times New Roman" w:cs="Times New Roman"/>
            <w:color w:val="000000" w:themeColor="text1"/>
            <w:sz w:val="17"/>
            <w:szCs w:val="17"/>
          </w:rPr>
          <w:t>https://doi.org/10.1016/j.scitotenv.2024.175125</w:t>
        </w:r>
      </w:hyperlink>
    </w:p>
    <w:p w14:paraId="6113A71C"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Ibrahim, M. M., Thakur, R. K., </w:t>
      </w:r>
      <w:proofErr w:type="spellStart"/>
      <w:r w:rsidRPr="0070357C">
        <w:rPr>
          <w:rFonts w:ascii="Times New Roman" w:eastAsia="Times New Roman" w:hAnsi="Times New Roman" w:cs="Times New Roman"/>
          <w:color w:val="000000" w:themeColor="text1"/>
          <w:sz w:val="17"/>
          <w:szCs w:val="17"/>
        </w:rPr>
        <w:t>Kumaranag</w:t>
      </w:r>
      <w:proofErr w:type="spellEnd"/>
      <w:r w:rsidRPr="0070357C">
        <w:rPr>
          <w:rFonts w:ascii="Times New Roman" w:eastAsia="Times New Roman" w:hAnsi="Times New Roman" w:cs="Times New Roman"/>
          <w:color w:val="000000" w:themeColor="text1"/>
          <w:sz w:val="17"/>
          <w:szCs w:val="17"/>
        </w:rPr>
        <w:t xml:space="preserve">, K. M., Manzoor, U., Chander, S., &amp; Dey, D. (2018). Cow urine as a chemotherapeutic in combating European foul brood in honey bee,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L. </w:t>
      </w:r>
      <w:r w:rsidRPr="0070357C">
        <w:rPr>
          <w:rFonts w:ascii="Times New Roman" w:eastAsia="Times New Roman" w:hAnsi="Times New Roman" w:cs="Times New Roman"/>
          <w:i/>
          <w:iCs/>
          <w:color w:val="000000" w:themeColor="text1"/>
          <w:sz w:val="17"/>
          <w:szCs w:val="17"/>
        </w:rPr>
        <w:t>Indian Journal of Entomology, 80</w:t>
      </w:r>
      <w:r w:rsidRPr="0070357C">
        <w:rPr>
          <w:rFonts w:ascii="Times New Roman" w:eastAsia="Times New Roman" w:hAnsi="Times New Roman" w:cs="Times New Roman"/>
          <w:color w:val="000000" w:themeColor="text1"/>
          <w:sz w:val="17"/>
          <w:szCs w:val="17"/>
        </w:rPr>
        <w:t xml:space="preserve">(2), 452–456. </w:t>
      </w:r>
      <w:hyperlink r:id="rId32" w:history="1">
        <w:r w:rsidRPr="0070357C">
          <w:rPr>
            <w:rFonts w:ascii="Times New Roman" w:eastAsia="Times New Roman" w:hAnsi="Times New Roman" w:cs="Times New Roman"/>
            <w:color w:val="000000" w:themeColor="text1"/>
            <w:sz w:val="17"/>
            <w:szCs w:val="17"/>
          </w:rPr>
          <w:t>https://doi.org/10.5958/0974-8172.2018.00088.3</w:t>
        </w:r>
      </w:hyperlink>
    </w:p>
    <w:p w14:paraId="49FEC46C"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Khalifa, S. A. M., </w:t>
      </w:r>
      <w:proofErr w:type="spellStart"/>
      <w:r w:rsidRPr="0070357C">
        <w:rPr>
          <w:rFonts w:ascii="Times New Roman" w:eastAsia="Times New Roman" w:hAnsi="Times New Roman" w:cs="Times New Roman"/>
          <w:color w:val="000000" w:themeColor="text1"/>
          <w:sz w:val="17"/>
          <w:szCs w:val="17"/>
        </w:rPr>
        <w:t>Elshafiey</w:t>
      </w:r>
      <w:proofErr w:type="spellEnd"/>
      <w:r w:rsidRPr="0070357C">
        <w:rPr>
          <w:rFonts w:ascii="Times New Roman" w:eastAsia="Times New Roman" w:hAnsi="Times New Roman" w:cs="Times New Roman"/>
          <w:color w:val="000000" w:themeColor="text1"/>
          <w:sz w:val="17"/>
          <w:szCs w:val="17"/>
        </w:rPr>
        <w:t xml:space="preserve">, E. H., </w:t>
      </w:r>
      <w:proofErr w:type="spellStart"/>
      <w:r w:rsidRPr="0070357C">
        <w:rPr>
          <w:rFonts w:ascii="Times New Roman" w:eastAsia="Times New Roman" w:hAnsi="Times New Roman" w:cs="Times New Roman"/>
          <w:color w:val="000000" w:themeColor="text1"/>
          <w:sz w:val="17"/>
          <w:szCs w:val="17"/>
        </w:rPr>
        <w:t>Shetaia</w:t>
      </w:r>
      <w:proofErr w:type="spellEnd"/>
      <w:r w:rsidRPr="0070357C">
        <w:rPr>
          <w:rFonts w:ascii="Times New Roman" w:eastAsia="Times New Roman" w:hAnsi="Times New Roman" w:cs="Times New Roman"/>
          <w:color w:val="000000" w:themeColor="text1"/>
          <w:sz w:val="17"/>
          <w:szCs w:val="17"/>
        </w:rPr>
        <w:t xml:space="preserve">, A. A., Abd El-Wahed, A. A., </w:t>
      </w:r>
      <w:proofErr w:type="spellStart"/>
      <w:r w:rsidRPr="0070357C">
        <w:rPr>
          <w:rFonts w:ascii="Times New Roman" w:eastAsia="Times New Roman" w:hAnsi="Times New Roman" w:cs="Times New Roman"/>
          <w:color w:val="000000" w:themeColor="text1"/>
          <w:sz w:val="17"/>
          <w:szCs w:val="17"/>
        </w:rPr>
        <w:t>Algethami</w:t>
      </w:r>
      <w:proofErr w:type="spellEnd"/>
      <w:r w:rsidRPr="0070357C">
        <w:rPr>
          <w:rFonts w:ascii="Times New Roman" w:eastAsia="Times New Roman" w:hAnsi="Times New Roman" w:cs="Times New Roman"/>
          <w:color w:val="000000" w:themeColor="text1"/>
          <w:sz w:val="17"/>
          <w:szCs w:val="17"/>
        </w:rPr>
        <w:t xml:space="preserve">, A. F., Musharraf, S. G., AlAjmi, M. F., Zhao, C., Masry, S. H. D., Abdel-Daim, M. M., Halabi, M. F., Kai, G., Al Naggar, Y., Bishr, M., Diab, M. A. M., &amp; El-Seedi, H. R. (2021). Overview of bee pollination and its economic value for crop production. </w:t>
      </w:r>
      <w:r w:rsidRPr="0070357C">
        <w:rPr>
          <w:rFonts w:ascii="Times New Roman" w:eastAsia="Times New Roman" w:hAnsi="Times New Roman" w:cs="Times New Roman"/>
          <w:i/>
          <w:iCs/>
          <w:color w:val="000000" w:themeColor="text1"/>
          <w:sz w:val="17"/>
          <w:szCs w:val="17"/>
        </w:rPr>
        <w:t>Insects, 12</w:t>
      </w:r>
      <w:r w:rsidRPr="0070357C">
        <w:rPr>
          <w:rFonts w:ascii="Times New Roman" w:eastAsia="Times New Roman" w:hAnsi="Times New Roman" w:cs="Times New Roman"/>
          <w:color w:val="000000" w:themeColor="text1"/>
          <w:sz w:val="17"/>
          <w:szCs w:val="17"/>
        </w:rPr>
        <w:t xml:space="preserve">(8), 688. </w:t>
      </w:r>
      <w:hyperlink r:id="rId33" w:history="1">
        <w:r w:rsidRPr="0070357C">
          <w:rPr>
            <w:rFonts w:ascii="Times New Roman" w:eastAsia="Times New Roman" w:hAnsi="Times New Roman" w:cs="Times New Roman"/>
            <w:color w:val="000000" w:themeColor="text1"/>
            <w:sz w:val="17"/>
            <w:szCs w:val="17"/>
          </w:rPr>
          <w:t>https://doi.org/10.3390/insects12080688</w:t>
        </w:r>
      </w:hyperlink>
    </w:p>
    <w:p w14:paraId="4DC2489D"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Khan, M. S., Kumari, B., </w:t>
      </w:r>
      <w:proofErr w:type="spellStart"/>
      <w:r w:rsidRPr="0070357C">
        <w:rPr>
          <w:rFonts w:ascii="Times New Roman" w:eastAsia="Times New Roman" w:hAnsi="Times New Roman" w:cs="Times New Roman"/>
          <w:color w:val="000000" w:themeColor="text1"/>
          <w:sz w:val="17"/>
          <w:szCs w:val="17"/>
        </w:rPr>
        <w:t>Rohilla</w:t>
      </w:r>
      <w:proofErr w:type="spellEnd"/>
      <w:r w:rsidRPr="0070357C">
        <w:rPr>
          <w:rFonts w:ascii="Times New Roman" w:eastAsia="Times New Roman" w:hAnsi="Times New Roman" w:cs="Times New Roman"/>
          <w:color w:val="000000" w:themeColor="text1"/>
          <w:sz w:val="17"/>
          <w:szCs w:val="17"/>
        </w:rPr>
        <w:t>, H. R., Kaushik, H. D., &amp; Arora, R. K. (2004). Analysis of insecticide residues in honeys from apiary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and wild honey bee (</w:t>
      </w:r>
      <w:r w:rsidRPr="0070357C">
        <w:rPr>
          <w:rFonts w:ascii="Times New Roman" w:eastAsia="Times New Roman" w:hAnsi="Times New Roman" w:cs="Times New Roman"/>
          <w:i/>
          <w:iCs/>
          <w:color w:val="000000" w:themeColor="text1"/>
          <w:sz w:val="17"/>
          <w:szCs w:val="17"/>
        </w:rPr>
        <w:t>Apis dorsata</w:t>
      </w:r>
      <w:r w:rsidRPr="0070357C">
        <w:rPr>
          <w:rFonts w:ascii="Times New Roman" w:eastAsia="Times New Roman" w:hAnsi="Times New Roman" w:cs="Times New Roman"/>
          <w:color w:val="000000" w:themeColor="text1"/>
          <w:sz w:val="17"/>
          <w:szCs w:val="17"/>
        </w:rPr>
        <w:t xml:space="preserve"> and </w:t>
      </w:r>
      <w:r w:rsidRPr="0070357C">
        <w:rPr>
          <w:rFonts w:ascii="Times New Roman" w:eastAsia="Times New Roman" w:hAnsi="Times New Roman" w:cs="Times New Roman"/>
          <w:i/>
          <w:iCs/>
          <w:color w:val="000000" w:themeColor="text1"/>
          <w:sz w:val="17"/>
          <w:szCs w:val="17"/>
        </w:rPr>
        <w:t>Apis florea</w:t>
      </w:r>
      <w:r w:rsidRPr="0070357C">
        <w:rPr>
          <w:rFonts w:ascii="Times New Roman" w:eastAsia="Times New Roman" w:hAnsi="Times New Roman" w:cs="Times New Roman"/>
          <w:color w:val="000000" w:themeColor="text1"/>
          <w:sz w:val="17"/>
          <w:szCs w:val="17"/>
        </w:rPr>
        <w:t xml:space="preserve">) colonies in India. </w:t>
      </w:r>
      <w:r w:rsidRPr="0070357C">
        <w:rPr>
          <w:rFonts w:ascii="Times New Roman" w:eastAsia="Times New Roman" w:hAnsi="Times New Roman" w:cs="Times New Roman"/>
          <w:i/>
          <w:iCs/>
          <w:color w:val="000000" w:themeColor="text1"/>
          <w:sz w:val="17"/>
          <w:szCs w:val="17"/>
        </w:rPr>
        <w:t>Journal of Apicultural Research, 43</w:t>
      </w:r>
      <w:r w:rsidRPr="0070357C">
        <w:rPr>
          <w:rFonts w:ascii="Times New Roman" w:eastAsia="Times New Roman" w:hAnsi="Times New Roman" w:cs="Times New Roman"/>
          <w:color w:val="000000" w:themeColor="text1"/>
          <w:sz w:val="17"/>
          <w:szCs w:val="17"/>
        </w:rPr>
        <w:t xml:space="preserve">(3), 79–82. </w:t>
      </w:r>
      <w:hyperlink r:id="rId34" w:history="1">
        <w:r w:rsidRPr="0070357C">
          <w:rPr>
            <w:rFonts w:ascii="Times New Roman" w:eastAsia="Times New Roman" w:hAnsi="Times New Roman" w:cs="Times New Roman"/>
            <w:color w:val="000000" w:themeColor="text1"/>
            <w:sz w:val="17"/>
            <w:szCs w:val="17"/>
          </w:rPr>
          <w:t>https://doi.org/10.1080/00218839.2004.11101115</w:t>
        </w:r>
      </w:hyperlink>
    </w:p>
    <w:p w14:paraId="31687FA9"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D354FA">
        <w:rPr>
          <w:rFonts w:ascii="Times New Roman" w:eastAsia="Times New Roman" w:hAnsi="Times New Roman" w:cs="Times New Roman"/>
          <w:color w:val="000000" w:themeColor="text1"/>
          <w:sz w:val="17"/>
          <w:szCs w:val="17"/>
          <w:lang w:val="en-GB"/>
        </w:rPr>
        <w:t xml:space="preserve">Klein, A.-M., Vaissière, B. E., Cane, J. H., Steffan-Dewenter, I., Cunningham, S. A., Kremen, C., &amp; </w:t>
      </w:r>
      <w:proofErr w:type="spellStart"/>
      <w:r w:rsidRPr="00D354FA">
        <w:rPr>
          <w:rFonts w:ascii="Times New Roman" w:eastAsia="Times New Roman" w:hAnsi="Times New Roman" w:cs="Times New Roman"/>
          <w:color w:val="000000" w:themeColor="text1"/>
          <w:sz w:val="17"/>
          <w:szCs w:val="17"/>
          <w:lang w:val="en-GB"/>
        </w:rPr>
        <w:t>Tscharntke</w:t>
      </w:r>
      <w:proofErr w:type="spellEnd"/>
      <w:r w:rsidRPr="00D354FA">
        <w:rPr>
          <w:rFonts w:ascii="Times New Roman" w:eastAsia="Times New Roman" w:hAnsi="Times New Roman" w:cs="Times New Roman"/>
          <w:color w:val="000000" w:themeColor="text1"/>
          <w:sz w:val="17"/>
          <w:szCs w:val="17"/>
          <w:lang w:val="en-GB"/>
        </w:rPr>
        <w:t xml:space="preserve">, T. (2007). </w:t>
      </w:r>
      <w:r w:rsidRPr="0070357C">
        <w:rPr>
          <w:rFonts w:ascii="Times New Roman" w:eastAsia="Times New Roman" w:hAnsi="Times New Roman" w:cs="Times New Roman"/>
          <w:color w:val="000000" w:themeColor="text1"/>
          <w:sz w:val="17"/>
          <w:szCs w:val="17"/>
        </w:rPr>
        <w:t xml:space="preserve">Importance of pollinators in changing landscapes for world crops. </w:t>
      </w:r>
      <w:r w:rsidRPr="0070357C">
        <w:rPr>
          <w:rFonts w:ascii="Times New Roman" w:eastAsia="Times New Roman" w:hAnsi="Times New Roman" w:cs="Times New Roman"/>
          <w:i/>
          <w:iCs/>
          <w:color w:val="000000" w:themeColor="text1"/>
          <w:sz w:val="17"/>
          <w:szCs w:val="17"/>
        </w:rPr>
        <w:t>Proceedings of the Royal Society B: Biological Sciences, 274</w:t>
      </w:r>
      <w:r w:rsidRPr="0070357C">
        <w:rPr>
          <w:rFonts w:ascii="Times New Roman" w:eastAsia="Times New Roman" w:hAnsi="Times New Roman" w:cs="Times New Roman"/>
          <w:color w:val="000000" w:themeColor="text1"/>
          <w:sz w:val="17"/>
          <w:szCs w:val="17"/>
        </w:rPr>
        <w:t xml:space="preserve">(1608), 303–313. </w:t>
      </w:r>
      <w:hyperlink r:id="rId35" w:history="1">
        <w:r w:rsidRPr="0070357C">
          <w:rPr>
            <w:rFonts w:ascii="Times New Roman" w:eastAsia="Times New Roman" w:hAnsi="Times New Roman" w:cs="Times New Roman"/>
            <w:color w:val="000000" w:themeColor="text1"/>
            <w:sz w:val="17"/>
            <w:szCs w:val="17"/>
          </w:rPr>
          <w:t>https://doi.org/10.1098/rspb.2006.3721</w:t>
        </w:r>
      </w:hyperlink>
    </w:p>
    <w:p w14:paraId="10F63AF5"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D354FA">
        <w:rPr>
          <w:rFonts w:ascii="Times New Roman" w:eastAsia="Times New Roman" w:hAnsi="Times New Roman" w:cs="Times New Roman"/>
          <w:color w:val="000000" w:themeColor="text1"/>
          <w:sz w:val="17"/>
          <w:szCs w:val="17"/>
          <w:lang w:val="en-GB"/>
        </w:rPr>
        <w:t xml:space="preserve">McMenamin, A. J., &amp; </w:t>
      </w:r>
      <w:proofErr w:type="spellStart"/>
      <w:r w:rsidRPr="00D354FA">
        <w:rPr>
          <w:rFonts w:ascii="Times New Roman" w:eastAsia="Times New Roman" w:hAnsi="Times New Roman" w:cs="Times New Roman"/>
          <w:color w:val="000000" w:themeColor="text1"/>
          <w:sz w:val="17"/>
          <w:szCs w:val="17"/>
          <w:lang w:val="en-GB"/>
        </w:rPr>
        <w:t>Genersch</w:t>
      </w:r>
      <w:proofErr w:type="spellEnd"/>
      <w:r w:rsidRPr="00D354FA">
        <w:rPr>
          <w:rFonts w:ascii="Times New Roman" w:eastAsia="Times New Roman" w:hAnsi="Times New Roman" w:cs="Times New Roman"/>
          <w:color w:val="000000" w:themeColor="text1"/>
          <w:sz w:val="17"/>
          <w:szCs w:val="17"/>
          <w:lang w:val="en-GB"/>
        </w:rPr>
        <w:t xml:space="preserve">, E. (2015). </w:t>
      </w:r>
      <w:r w:rsidRPr="0070357C">
        <w:rPr>
          <w:rFonts w:ascii="Times New Roman" w:eastAsia="Times New Roman" w:hAnsi="Times New Roman" w:cs="Times New Roman"/>
          <w:color w:val="000000" w:themeColor="text1"/>
          <w:sz w:val="17"/>
          <w:szCs w:val="17"/>
        </w:rPr>
        <w:t xml:space="preserve">Honey bee colony losses and associated viruses. </w:t>
      </w:r>
      <w:r w:rsidRPr="0070357C">
        <w:rPr>
          <w:rFonts w:ascii="Times New Roman" w:eastAsia="Times New Roman" w:hAnsi="Times New Roman" w:cs="Times New Roman"/>
          <w:i/>
          <w:iCs/>
          <w:color w:val="000000" w:themeColor="text1"/>
          <w:sz w:val="17"/>
          <w:szCs w:val="17"/>
        </w:rPr>
        <w:t>Current Opinion in Insect Science, 8</w:t>
      </w:r>
      <w:r w:rsidRPr="0070357C">
        <w:rPr>
          <w:rFonts w:ascii="Times New Roman" w:eastAsia="Times New Roman" w:hAnsi="Times New Roman" w:cs="Times New Roman"/>
          <w:color w:val="000000" w:themeColor="text1"/>
          <w:sz w:val="17"/>
          <w:szCs w:val="17"/>
        </w:rPr>
        <w:t xml:space="preserve">, 121–129. </w:t>
      </w:r>
      <w:hyperlink r:id="rId36" w:history="1">
        <w:r w:rsidRPr="0070357C">
          <w:rPr>
            <w:rFonts w:ascii="Times New Roman" w:eastAsia="Times New Roman" w:hAnsi="Times New Roman" w:cs="Times New Roman"/>
            <w:color w:val="000000" w:themeColor="text1"/>
            <w:sz w:val="17"/>
            <w:szCs w:val="17"/>
          </w:rPr>
          <w:t>https://doi.org/10.1016/j.cois.2015.01.015</w:t>
        </w:r>
      </w:hyperlink>
    </w:p>
    <w:p w14:paraId="51408432"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Motta, E. V. S., &amp; Moran, N. A. (2024). The honeybee microbiota and its impact on health and disease. </w:t>
      </w:r>
      <w:r w:rsidRPr="0070357C">
        <w:rPr>
          <w:rFonts w:ascii="Times New Roman" w:eastAsia="Times New Roman" w:hAnsi="Times New Roman" w:cs="Times New Roman"/>
          <w:i/>
          <w:iCs/>
          <w:color w:val="000000" w:themeColor="text1"/>
          <w:sz w:val="17"/>
          <w:szCs w:val="17"/>
        </w:rPr>
        <w:t>Nature Reviews Microbiology, 22</w:t>
      </w:r>
      <w:r w:rsidRPr="0070357C">
        <w:rPr>
          <w:rFonts w:ascii="Times New Roman" w:eastAsia="Times New Roman" w:hAnsi="Times New Roman" w:cs="Times New Roman"/>
          <w:color w:val="000000" w:themeColor="text1"/>
          <w:sz w:val="17"/>
          <w:szCs w:val="17"/>
        </w:rPr>
        <w:t xml:space="preserve">(3), 122–137. </w:t>
      </w:r>
      <w:hyperlink r:id="rId37" w:history="1">
        <w:r w:rsidRPr="0070357C">
          <w:rPr>
            <w:rFonts w:ascii="Times New Roman" w:eastAsia="Times New Roman" w:hAnsi="Times New Roman" w:cs="Times New Roman"/>
            <w:color w:val="000000" w:themeColor="text1"/>
            <w:sz w:val="17"/>
            <w:szCs w:val="17"/>
          </w:rPr>
          <w:t>https://doi.org/10.1038/s41579-023-00990-3</w:t>
        </w:r>
      </w:hyperlink>
    </w:p>
    <w:p w14:paraId="331C5F09"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Mullin, C. A., Frazier, M., Frazier, J. L., Ashcraft, S., Simonds, R., </w:t>
      </w:r>
      <w:proofErr w:type="spellStart"/>
      <w:r w:rsidRPr="0070357C">
        <w:rPr>
          <w:rFonts w:ascii="Times New Roman" w:eastAsia="Times New Roman" w:hAnsi="Times New Roman" w:cs="Times New Roman"/>
          <w:color w:val="000000" w:themeColor="text1"/>
          <w:sz w:val="17"/>
          <w:szCs w:val="17"/>
        </w:rPr>
        <w:t>vanEngelsdorp</w:t>
      </w:r>
      <w:proofErr w:type="spellEnd"/>
      <w:r w:rsidRPr="0070357C">
        <w:rPr>
          <w:rFonts w:ascii="Times New Roman" w:eastAsia="Times New Roman" w:hAnsi="Times New Roman" w:cs="Times New Roman"/>
          <w:color w:val="000000" w:themeColor="text1"/>
          <w:sz w:val="17"/>
          <w:szCs w:val="17"/>
        </w:rPr>
        <w:t xml:space="preserve">, D., &amp; Pettis, J. S. (2010). High levels of miticides and agrochemicals in North American apiaries: Implications for honey bee health. </w:t>
      </w:r>
      <w:r w:rsidRPr="0070357C">
        <w:rPr>
          <w:rFonts w:ascii="Times New Roman" w:eastAsia="Times New Roman" w:hAnsi="Times New Roman" w:cs="Times New Roman"/>
          <w:i/>
          <w:iCs/>
          <w:color w:val="000000" w:themeColor="text1"/>
          <w:sz w:val="17"/>
          <w:szCs w:val="17"/>
        </w:rPr>
        <w:t>PLOS ONE, 5</w:t>
      </w:r>
      <w:r w:rsidRPr="0070357C">
        <w:rPr>
          <w:rFonts w:ascii="Times New Roman" w:eastAsia="Times New Roman" w:hAnsi="Times New Roman" w:cs="Times New Roman"/>
          <w:color w:val="000000" w:themeColor="text1"/>
          <w:sz w:val="17"/>
          <w:szCs w:val="17"/>
        </w:rPr>
        <w:t xml:space="preserve">(3), e9754. </w:t>
      </w:r>
      <w:hyperlink r:id="rId38" w:history="1">
        <w:r w:rsidRPr="0070357C">
          <w:rPr>
            <w:rFonts w:ascii="Times New Roman" w:eastAsia="Times New Roman" w:hAnsi="Times New Roman" w:cs="Times New Roman"/>
            <w:color w:val="000000" w:themeColor="text1"/>
            <w:sz w:val="17"/>
            <w:szCs w:val="17"/>
          </w:rPr>
          <w:t>https://doi.org/10.1371/journal.pone.0009754</w:t>
        </w:r>
      </w:hyperlink>
    </w:p>
    <w:p w14:paraId="6276B32F"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Musah, B. I. (2026). Impact of pesticides on honeybees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physiology, foraging and colony: An overview. </w:t>
      </w:r>
      <w:r w:rsidRPr="0070357C">
        <w:rPr>
          <w:rFonts w:ascii="Times New Roman" w:eastAsia="Times New Roman" w:hAnsi="Times New Roman" w:cs="Times New Roman"/>
          <w:i/>
          <w:iCs/>
          <w:color w:val="000000" w:themeColor="text1"/>
          <w:sz w:val="17"/>
          <w:szCs w:val="17"/>
        </w:rPr>
        <w:t>Environmental Toxicology and Pharmacology, 125</w:t>
      </w:r>
      <w:r w:rsidRPr="0070357C">
        <w:rPr>
          <w:rFonts w:ascii="Times New Roman" w:eastAsia="Times New Roman" w:hAnsi="Times New Roman" w:cs="Times New Roman"/>
          <w:color w:val="000000" w:themeColor="text1"/>
          <w:sz w:val="17"/>
          <w:szCs w:val="17"/>
        </w:rPr>
        <w:t xml:space="preserve">, 105066. </w:t>
      </w:r>
      <w:hyperlink r:id="rId39" w:history="1">
        <w:r w:rsidRPr="0070357C">
          <w:rPr>
            <w:rFonts w:ascii="Times New Roman" w:eastAsia="Times New Roman" w:hAnsi="Times New Roman" w:cs="Times New Roman"/>
            <w:color w:val="000000" w:themeColor="text1"/>
            <w:sz w:val="17"/>
            <w:szCs w:val="17"/>
          </w:rPr>
          <w:t>https://doi.org/10.1016/j.etap.2026.105066</w:t>
        </w:r>
      </w:hyperlink>
    </w:p>
    <w:p w14:paraId="7EC506E2"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Navarro-Escalante, L., Ashraf, A. H. M. Z., Leonard, S. P., &amp; Barrick, J. E. (2025). Protecting honey bees through microbiome engineering. </w:t>
      </w:r>
      <w:r w:rsidRPr="0070357C">
        <w:rPr>
          <w:rFonts w:ascii="Times New Roman" w:eastAsia="Times New Roman" w:hAnsi="Times New Roman" w:cs="Times New Roman"/>
          <w:i/>
          <w:iCs/>
          <w:color w:val="000000" w:themeColor="text1"/>
          <w:sz w:val="17"/>
          <w:szCs w:val="17"/>
        </w:rPr>
        <w:t>Current Opinion in Insect Science, 72</w:t>
      </w:r>
      <w:r w:rsidRPr="0070357C">
        <w:rPr>
          <w:rFonts w:ascii="Times New Roman" w:eastAsia="Times New Roman" w:hAnsi="Times New Roman" w:cs="Times New Roman"/>
          <w:color w:val="000000" w:themeColor="text1"/>
          <w:sz w:val="17"/>
          <w:szCs w:val="17"/>
        </w:rPr>
        <w:t xml:space="preserve">, 101416. </w:t>
      </w:r>
      <w:hyperlink r:id="rId40" w:history="1">
        <w:r w:rsidRPr="0070357C">
          <w:rPr>
            <w:rFonts w:ascii="Times New Roman" w:eastAsia="Times New Roman" w:hAnsi="Times New Roman" w:cs="Times New Roman"/>
            <w:color w:val="000000" w:themeColor="text1"/>
            <w:sz w:val="17"/>
            <w:szCs w:val="17"/>
          </w:rPr>
          <w:t>https://doi.org/10.1016/j.cois.2025.101416</w:t>
        </w:r>
      </w:hyperlink>
    </w:p>
    <w:p w14:paraId="67A6131F"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proofErr w:type="spellStart"/>
      <w:r w:rsidRPr="0070357C">
        <w:rPr>
          <w:rFonts w:ascii="Times New Roman" w:eastAsia="Times New Roman" w:hAnsi="Times New Roman" w:cs="Times New Roman"/>
          <w:color w:val="000000" w:themeColor="text1"/>
          <w:sz w:val="17"/>
          <w:szCs w:val="17"/>
        </w:rPr>
        <w:t>Nekoei</w:t>
      </w:r>
      <w:proofErr w:type="spellEnd"/>
      <w:r w:rsidRPr="0070357C">
        <w:rPr>
          <w:rFonts w:ascii="Times New Roman" w:eastAsia="Times New Roman" w:hAnsi="Times New Roman" w:cs="Times New Roman"/>
          <w:color w:val="000000" w:themeColor="text1"/>
          <w:sz w:val="17"/>
          <w:szCs w:val="17"/>
        </w:rPr>
        <w:t xml:space="preserve">, S., Rezvan, M., </w:t>
      </w:r>
      <w:proofErr w:type="spellStart"/>
      <w:r w:rsidRPr="0070357C">
        <w:rPr>
          <w:rFonts w:ascii="Times New Roman" w:eastAsia="Times New Roman" w:hAnsi="Times New Roman" w:cs="Times New Roman"/>
          <w:color w:val="000000" w:themeColor="text1"/>
          <w:sz w:val="17"/>
          <w:szCs w:val="17"/>
        </w:rPr>
        <w:t>Khamesipour</w:t>
      </w:r>
      <w:proofErr w:type="spellEnd"/>
      <w:r w:rsidRPr="0070357C">
        <w:rPr>
          <w:rFonts w:ascii="Times New Roman" w:eastAsia="Times New Roman" w:hAnsi="Times New Roman" w:cs="Times New Roman"/>
          <w:color w:val="000000" w:themeColor="text1"/>
          <w:sz w:val="17"/>
          <w:szCs w:val="17"/>
        </w:rPr>
        <w:t xml:space="preserve">, F., </w:t>
      </w:r>
      <w:proofErr w:type="spellStart"/>
      <w:r w:rsidRPr="0070357C">
        <w:rPr>
          <w:rFonts w:ascii="Times New Roman" w:eastAsia="Times New Roman" w:hAnsi="Times New Roman" w:cs="Times New Roman"/>
          <w:color w:val="000000" w:themeColor="text1"/>
          <w:sz w:val="17"/>
          <w:szCs w:val="17"/>
        </w:rPr>
        <w:t>Mayack</w:t>
      </w:r>
      <w:proofErr w:type="spellEnd"/>
      <w:r w:rsidRPr="0070357C">
        <w:rPr>
          <w:rFonts w:ascii="Times New Roman" w:eastAsia="Times New Roman" w:hAnsi="Times New Roman" w:cs="Times New Roman"/>
          <w:color w:val="000000" w:themeColor="text1"/>
          <w:sz w:val="17"/>
          <w:szCs w:val="17"/>
        </w:rPr>
        <w:t xml:space="preserve">, C., </w:t>
      </w:r>
      <w:proofErr w:type="spellStart"/>
      <w:r w:rsidRPr="0070357C">
        <w:rPr>
          <w:rFonts w:ascii="Times New Roman" w:eastAsia="Times New Roman" w:hAnsi="Times New Roman" w:cs="Times New Roman"/>
          <w:color w:val="000000" w:themeColor="text1"/>
          <w:sz w:val="17"/>
          <w:szCs w:val="17"/>
        </w:rPr>
        <w:t>Molento</w:t>
      </w:r>
      <w:proofErr w:type="spellEnd"/>
      <w:r w:rsidRPr="0070357C">
        <w:rPr>
          <w:rFonts w:ascii="Times New Roman" w:eastAsia="Times New Roman" w:hAnsi="Times New Roman" w:cs="Times New Roman"/>
          <w:color w:val="000000" w:themeColor="text1"/>
          <w:sz w:val="17"/>
          <w:szCs w:val="17"/>
        </w:rPr>
        <w:t xml:space="preserve">, M. B., &amp; </w:t>
      </w:r>
      <w:proofErr w:type="spellStart"/>
      <w:r w:rsidRPr="0070357C">
        <w:rPr>
          <w:rFonts w:ascii="Times New Roman" w:eastAsia="Times New Roman" w:hAnsi="Times New Roman" w:cs="Times New Roman"/>
          <w:color w:val="000000" w:themeColor="text1"/>
          <w:sz w:val="17"/>
          <w:szCs w:val="17"/>
        </w:rPr>
        <w:t>Revainera</w:t>
      </w:r>
      <w:proofErr w:type="spellEnd"/>
      <w:r w:rsidRPr="0070357C">
        <w:rPr>
          <w:rFonts w:ascii="Times New Roman" w:eastAsia="Times New Roman" w:hAnsi="Times New Roman" w:cs="Times New Roman"/>
          <w:color w:val="000000" w:themeColor="text1"/>
          <w:sz w:val="17"/>
          <w:szCs w:val="17"/>
        </w:rPr>
        <w:t>, P. D. (2023). A systematic review of honey bee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Linnaeus, 1758) infections and available treatment options. </w:t>
      </w:r>
      <w:r w:rsidRPr="0070357C">
        <w:rPr>
          <w:rFonts w:ascii="Times New Roman" w:eastAsia="Times New Roman" w:hAnsi="Times New Roman" w:cs="Times New Roman"/>
          <w:i/>
          <w:iCs/>
          <w:color w:val="000000" w:themeColor="text1"/>
          <w:sz w:val="17"/>
          <w:szCs w:val="17"/>
        </w:rPr>
        <w:t>Veterinary Medicine and Science, 9</w:t>
      </w:r>
      <w:r w:rsidRPr="0070357C">
        <w:rPr>
          <w:rFonts w:ascii="Times New Roman" w:eastAsia="Times New Roman" w:hAnsi="Times New Roman" w:cs="Times New Roman"/>
          <w:color w:val="000000" w:themeColor="text1"/>
          <w:sz w:val="17"/>
          <w:szCs w:val="17"/>
        </w:rPr>
        <w:t xml:space="preserve">(4), 1848–1860. </w:t>
      </w:r>
      <w:hyperlink r:id="rId41" w:history="1">
        <w:r w:rsidRPr="0070357C">
          <w:rPr>
            <w:rFonts w:ascii="Times New Roman" w:eastAsia="Times New Roman" w:hAnsi="Times New Roman" w:cs="Times New Roman"/>
            <w:color w:val="000000" w:themeColor="text1"/>
            <w:sz w:val="17"/>
            <w:szCs w:val="17"/>
          </w:rPr>
          <w:t>https://doi.org/10.1002/vms3.1194</w:t>
        </w:r>
      </w:hyperlink>
    </w:p>
    <w:p w14:paraId="69387263"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lang w:val="nl-BE"/>
        </w:rPr>
      </w:pPr>
      <w:r w:rsidRPr="0070357C">
        <w:rPr>
          <w:rFonts w:ascii="Times New Roman" w:eastAsia="Times New Roman" w:hAnsi="Times New Roman" w:cs="Times New Roman"/>
          <w:color w:val="000000" w:themeColor="text1"/>
          <w:sz w:val="17"/>
          <w:szCs w:val="17"/>
        </w:rPr>
        <w:t xml:space="preserve">Ollerton, J., Winfree, R., &amp; Tarrant, S. (2011). How many flowering plants are pollinated by animals? </w:t>
      </w:r>
      <w:r w:rsidRPr="0070357C">
        <w:rPr>
          <w:rFonts w:ascii="Times New Roman" w:eastAsia="Times New Roman" w:hAnsi="Times New Roman" w:cs="Times New Roman"/>
          <w:i/>
          <w:iCs/>
          <w:color w:val="000000" w:themeColor="text1"/>
          <w:sz w:val="17"/>
          <w:szCs w:val="17"/>
          <w:lang w:val="nl-BE"/>
        </w:rPr>
        <w:t>Oikos, 120</w:t>
      </w:r>
      <w:r w:rsidRPr="0070357C">
        <w:rPr>
          <w:rFonts w:ascii="Times New Roman" w:eastAsia="Times New Roman" w:hAnsi="Times New Roman" w:cs="Times New Roman"/>
          <w:color w:val="000000" w:themeColor="text1"/>
          <w:sz w:val="17"/>
          <w:szCs w:val="17"/>
          <w:lang w:val="nl-BE"/>
        </w:rPr>
        <w:t xml:space="preserve">(3), 321–326. </w:t>
      </w:r>
      <w:hyperlink r:id="rId42" w:history="1">
        <w:r w:rsidRPr="0070357C">
          <w:rPr>
            <w:rFonts w:ascii="Times New Roman" w:eastAsia="Times New Roman" w:hAnsi="Times New Roman" w:cs="Times New Roman"/>
            <w:color w:val="000000" w:themeColor="text1"/>
            <w:sz w:val="17"/>
            <w:szCs w:val="17"/>
            <w:lang w:val="nl-BE"/>
          </w:rPr>
          <w:t>https://doi.org/10.1111/j.1600-0706.2010.18644.x</w:t>
        </w:r>
      </w:hyperlink>
    </w:p>
    <w:p w14:paraId="35892FE9"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lang w:val="nl-BE"/>
        </w:rPr>
        <w:t xml:space="preserve">Potts, S. G., Biesmeijer, J. C., Kremen, C., Neumann, P., Schweiger, O., &amp; Kunin, W. E. (2010). </w:t>
      </w:r>
      <w:r w:rsidRPr="0070357C">
        <w:rPr>
          <w:rFonts w:ascii="Times New Roman" w:eastAsia="Times New Roman" w:hAnsi="Times New Roman" w:cs="Times New Roman"/>
          <w:color w:val="000000" w:themeColor="text1"/>
          <w:sz w:val="17"/>
          <w:szCs w:val="17"/>
        </w:rPr>
        <w:t xml:space="preserve">Global pollinator declines: Trends, impacts and drivers. </w:t>
      </w:r>
      <w:r w:rsidRPr="0070357C">
        <w:rPr>
          <w:rFonts w:ascii="Times New Roman" w:eastAsia="Times New Roman" w:hAnsi="Times New Roman" w:cs="Times New Roman"/>
          <w:i/>
          <w:iCs/>
          <w:color w:val="000000" w:themeColor="text1"/>
          <w:sz w:val="17"/>
          <w:szCs w:val="17"/>
        </w:rPr>
        <w:t>Trends in Ecology &amp; Evolution, 25</w:t>
      </w:r>
      <w:r w:rsidRPr="0070357C">
        <w:rPr>
          <w:rFonts w:ascii="Times New Roman" w:eastAsia="Times New Roman" w:hAnsi="Times New Roman" w:cs="Times New Roman"/>
          <w:color w:val="000000" w:themeColor="text1"/>
          <w:sz w:val="17"/>
          <w:szCs w:val="17"/>
        </w:rPr>
        <w:t xml:space="preserve">(6), 345–353. </w:t>
      </w:r>
      <w:hyperlink r:id="rId43" w:history="1">
        <w:r w:rsidRPr="0070357C">
          <w:rPr>
            <w:rFonts w:ascii="Times New Roman" w:eastAsia="Times New Roman" w:hAnsi="Times New Roman" w:cs="Times New Roman"/>
            <w:color w:val="000000" w:themeColor="text1"/>
            <w:sz w:val="17"/>
            <w:szCs w:val="17"/>
          </w:rPr>
          <w:t>https://doi.org/10.1016/j.tree.2010.01.007</w:t>
        </w:r>
      </w:hyperlink>
    </w:p>
    <w:p w14:paraId="6AFFBF5B"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Rani, T., Sharma, S. K., Chatterjee, D., &amp; Parmar, S. (2026). Commercial beekeepers leveraging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(Linnaeus), for income generation in Himachal Pradesh, India. </w:t>
      </w:r>
      <w:r w:rsidRPr="0070357C">
        <w:rPr>
          <w:rFonts w:ascii="Times New Roman" w:eastAsia="Times New Roman" w:hAnsi="Times New Roman" w:cs="Times New Roman"/>
          <w:i/>
          <w:iCs/>
          <w:color w:val="000000" w:themeColor="text1"/>
          <w:sz w:val="17"/>
          <w:szCs w:val="17"/>
        </w:rPr>
        <w:t>Journal of Advances in Biology &amp; Biotechnology, 29</w:t>
      </w:r>
      <w:r w:rsidRPr="0070357C">
        <w:rPr>
          <w:rFonts w:ascii="Times New Roman" w:eastAsia="Times New Roman" w:hAnsi="Times New Roman" w:cs="Times New Roman"/>
          <w:color w:val="000000" w:themeColor="text1"/>
          <w:sz w:val="17"/>
          <w:szCs w:val="17"/>
        </w:rPr>
        <w:t xml:space="preserve">(2), 548–554. </w:t>
      </w:r>
      <w:hyperlink r:id="rId44" w:history="1">
        <w:r w:rsidRPr="0070357C">
          <w:rPr>
            <w:rFonts w:ascii="Times New Roman" w:eastAsia="Times New Roman" w:hAnsi="Times New Roman" w:cs="Times New Roman"/>
            <w:color w:val="000000" w:themeColor="text1"/>
            <w:sz w:val="17"/>
            <w:szCs w:val="17"/>
          </w:rPr>
          <w:t>https://doi.org/10.9734/jabb/2026/v29i23659</w:t>
        </w:r>
      </w:hyperlink>
    </w:p>
    <w:p w14:paraId="705CEB5C"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Sánchez-Bayo, F., &amp; </w:t>
      </w:r>
      <w:proofErr w:type="spellStart"/>
      <w:r w:rsidRPr="0070357C">
        <w:rPr>
          <w:rFonts w:ascii="Times New Roman" w:eastAsia="Times New Roman" w:hAnsi="Times New Roman" w:cs="Times New Roman"/>
          <w:color w:val="000000" w:themeColor="text1"/>
          <w:sz w:val="17"/>
          <w:szCs w:val="17"/>
        </w:rPr>
        <w:t>Wyckhuys</w:t>
      </w:r>
      <w:proofErr w:type="spellEnd"/>
      <w:r w:rsidRPr="0070357C">
        <w:rPr>
          <w:rFonts w:ascii="Times New Roman" w:eastAsia="Times New Roman" w:hAnsi="Times New Roman" w:cs="Times New Roman"/>
          <w:color w:val="000000" w:themeColor="text1"/>
          <w:sz w:val="17"/>
          <w:szCs w:val="17"/>
        </w:rPr>
        <w:t xml:space="preserve">, K. A. G. (2019). Worldwide decline of the entomofauna: A review of its drivers. </w:t>
      </w:r>
      <w:r w:rsidRPr="0070357C">
        <w:rPr>
          <w:rFonts w:ascii="Times New Roman" w:eastAsia="Times New Roman" w:hAnsi="Times New Roman" w:cs="Times New Roman"/>
          <w:i/>
          <w:iCs/>
          <w:color w:val="000000" w:themeColor="text1"/>
          <w:sz w:val="17"/>
          <w:szCs w:val="17"/>
        </w:rPr>
        <w:t>Biological Conservation, 232</w:t>
      </w:r>
      <w:r w:rsidRPr="0070357C">
        <w:rPr>
          <w:rFonts w:ascii="Times New Roman" w:eastAsia="Times New Roman" w:hAnsi="Times New Roman" w:cs="Times New Roman"/>
          <w:color w:val="000000" w:themeColor="text1"/>
          <w:sz w:val="17"/>
          <w:szCs w:val="17"/>
        </w:rPr>
        <w:t xml:space="preserve">, 8–27. </w:t>
      </w:r>
      <w:hyperlink r:id="rId45" w:history="1">
        <w:r w:rsidRPr="0070357C">
          <w:rPr>
            <w:rFonts w:ascii="Times New Roman" w:eastAsia="Times New Roman" w:hAnsi="Times New Roman" w:cs="Times New Roman"/>
            <w:color w:val="000000" w:themeColor="text1"/>
            <w:sz w:val="17"/>
            <w:szCs w:val="17"/>
          </w:rPr>
          <w:t>https://doi.org/10.1016/j.biocon.2019.01.020</w:t>
        </w:r>
      </w:hyperlink>
    </w:p>
    <w:p w14:paraId="37BE1871"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lastRenderedPageBreak/>
        <w:t>Sihag, R. C. (2025). Conservation of giant honey bee (</w:t>
      </w:r>
      <w:r w:rsidRPr="0070357C">
        <w:rPr>
          <w:rFonts w:ascii="Times New Roman" w:eastAsia="Times New Roman" w:hAnsi="Times New Roman" w:cs="Times New Roman"/>
          <w:i/>
          <w:iCs/>
          <w:color w:val="000000" w:themeColor="text1"/>
          <w:sz w:val="17"/>
          <w:szCs w:val="17"/>
        </w:rPr>
        <w:t>Apis dorsata</w:t>
      </w:r>
      <w:r w:rsidRPr="0070357C">
        <w:rPr>
          <w:rFonts w:ascii="Times New Roman" w:eastAsia="Times New Roman" w:hAnsi="Times New Roman" w:cs="Times New Roman"/>
          <w:color w:val="000000" w:themeColor="text1"/>
          <w:sz w:val="17"/>
          <w:szCs w:val="17"/>
        </w:rPr>
        <w:t xml:space="preserve"> F.) for honey and beeswax production and sustainable pollination services. </w:t>
      </w:r>
      <w:r w:rsidRPr="0070357C">
        <w:rPr>
          <w:rFonts w:ascii="Times New Roman" w:eastAsia="Times New Roman" w:hAnsi="Times New Roman" w:cs="Times New Roman"/>
          <w:i/>
          <w:iCs/>
          <w:color w:val="000000" w:themeColor="text1"/>
          <w:sz w:val="17"/>
          <w:szCs w:val="17"/>
        </w:rPr>
        <w:t>Insects, 16</w:t>
      </w:r>
      <w:r w:rsidRPr="0070357C">
        <w:rPr>
          <w:rFonts w:ascii="Times New Roman" w:eastAsia="Times New Roman" w:hAnsi="Times New Roman" w:cs="Times New Roman"/>
          <w:color w:val="000000" w:themeColor="text1"/>
          <w:sz w:val="17"/>
          <w:szCs w:val="17"/>
        </w:rPr>
        <w:t xml:space="preserve">(6), 560. </w:t>
      </w:r>
      <w:hyperlink r:id="rId46" w:history="1">
        <w:r w:rsidRPr="0070357C">
          <w:rPr>
            <w:rFonts w:ascii="Times New Roman" w:eastAsia="Times New Roman" w:hAnsi="Times New Roman" w:cs="Times New Roman"/>
            <w:color w:val="000000" w:themeColor="text1"/>
            <w:sz w:val="17"/>
            <w:szCs w:val="17"/>
          </w:rPr>
          <w:t>https://doi.org/10.3390/insects16060560</w:t>
        </w:r>
      </w:hyperlink>
    </w:p>
    <w:p w14:paraId="12BC6FCF"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Singh, A., Sohal, S. K., Singh, N., Arora, S., &amp; Fnu, S. (2023). Cosmopolitan honey bee, </w:t>
      </w:r>
      <w:r w:rsidRPr="0070357C">
        <w:rPr>
          <w:rFonts w:ascii="Times New Roman" w:eastAsia="Times New Roman" w:hAnsi="Times New Roman" w:cs="Times New Roman"/>
          <w:i/>
          <w:iCs/>
          <w:color w:val="000000" w:themeColor="text1"/>
          <w:sz w:val="17"/>
          <w:szCs w:val="17"/>
        </w:rPr>
        <w:t>Apis mellifera</w:t>
      </w:r>
      <w:r w:rsidRPr="0070357C">
        <w:rPr>
          <w:rFonts w:ascii="Times New Roman" w:eastAsia="Times New Roman" w:hAnsi="Times New Roman" w:cs="Times New Roman"/>
          <w:color w:val="000000" w:themeColor="text1"/>
          <w:sz w:val="17"/>
          <w:szCs w:val="17"/>
        </w:rPr>
        <w:t xml:space="preserve">, as quick and efficient marker of pesticide pollution in environment through RP-HPLC. </w:t>
      </w:r>
      <w:r w:rsidRPr="0070357C">
        <w:rPr>
          <w:rFonts w:ascii="Times New Roman" w:eastAsia="Times New Roman" w:hAnsi="Times New Roman" w:cs="Times New Roman"/>
          <w:i/>
          <w:iCs/>
          <w:color w:val="000000" w:themeColor="text1"/>
          <w:sz w:val="17"/>
          <w:szCs w:val="17"/>
        </w:rPr>
        <w:t>Environmental Science and Pollution Research, 30</w:t>
      </w:r>
      <w:r w:rsidRPr="0070357C">
        <w:rPr>
          <w:rFonts w:ascii="Times New Roman" w:eastAsia="Times New Roman" w:hAnsi="Times New Roman" w:cs="Times New Roman"/>
          <w:color w:val="000000" w:themeColor="text1"/>
          <w:sz w:val="17"/>
          <w:szCs w:val="17"/>
        </w:rPr>
        <w:t xml:space="preserve">(35), 83452–83462. </w:t>
      </w:r>
      <w:hyperlink r:id="rId47" w:history="1">
        <w:r w:rsidRPr="0070357C">
          <w:rPr>
            <w:rFonts w:ascii="Times New Roman" w:eastAsia="Times New Roman" w:hAnsi="Times New Roman" w:cs="Times New Roman"/>
            <w:color w:val="000000" w:themeColor="text1"/>
            <w:sz w:val="17"/>
            <w:szCs w:val="17"/>
          </w:rPr>
          <w:t>https://doi.org/10.1007/s11356-023-28051-5</w:t>
        </w:r>
      </w:hyperlink>
    </w:p>
    <w:p w14:paraId="621A19FC"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Srivastava, K., Sharma, D., Pandey, S. D., Anal, A. K. D., &amp; Nath, V. (2017). Dynamics of climate and pollinator species influencing litchi (</w:t>
      </w:r>
      <w:r w:rsidRPr="0070357C">
        <w:rPr>
          <w:rFonts w:ascii="Times New Roman" w:eastAsia="Times New Roman" w:hAnsi="Times New Roman" w:cs="Times New Roman"/>
          <w:i/>
          <w:iCs/>
          <w:color w:val="000000" w:themeColor="text1"/>
          <w:sz w:val="17"/>
          <w:szCs w:val="17"/>
        </w:rPr>
        <w:t>Litchi chinensis</w:t>
      </w:r>
      <w:r w:rsidRPr="0070357C">
        <w:rPr>
          <w:rFonts w:ascii="Times New Roman" w:eastAsia="Times New Roman" w:hAnsi="Times New Roman" w:cs="Times New Roman"/>
          <w:color w:val="000000" w:themeColor="text1"/>
          <w:sz w:val="17"/>
          <w:szCs w:val="17"/>
        </w:rPr>
        <w:t xml:space="preserve">) in India. </w:t>
      </w:r>
      <w:r w:rsidRPr="0070357C">
        <w:rPr>
          <w:rFonts w:ascii="Times New Roman" w:eastAsia="Times New Roman" w:hAnsi="Times New Roman" w:cs="Times New Roman"/>
          <w:i/>
          <w:iCs/>
          <w:color w:val="000000" w:themeColor="text1"/>
          <w:sz w:val="17"/>
          <w:szCs w:val="17"/>
        </w:rPr>
        <w:t>The Indian Journal of Agricultural Sciences, 87</w:t>
      </w:r>
      <w:r w:rsidRPr="0070357C">
        <w:rPr>
          <w:rFonts w:ascii="Times New Roman" w:eastAsia="Times New Roman" w:hAnsi="Times New Roman" w:cs="Times New Roman"/>
          <w:color w:val="000000" w:themeColor="text1"/>
          <w:sz w:val="17"/>
          <w:szCs w:val="17"/>
        </w:rPr>
        <w:t xml:space="preserve">(2), 266–269. </w:t>
      </w:r>
      <w:hyperlink r:id="rId48" w:history="1">
        <w:r w:rsidRPr="0070357C">
          <w:rPr>
            <w:rFonts w:ascii="Times New Roman" w:eastAsia="Times New Roman" w:hAnsi="Times New Roman" w:cs="Times New Roman"/>
            <w:color w:val="000000" w:themeColor="text1"/>
            <w:sz w:val="17"/>
            <w:szCs w:val="17"/>
          </w:rPr>
          <w:t>https://doi.org/10.56093/ijas.v87i2.67663</w:t>
        </w:r>
      </w:hyperlink>
    </w:p>
    <w:p w14:paraId="1E63C4D2"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Stanley, J., Sah, K., Jain, S. K., Bhatt, J. C., &amp; Sushil, S. N. (2015). Evaluation of pesticide toxicity at their field recommended doses to honeybees, </w:t>
      </w:r>
      <w:r w:rsidRPr="0070357C">
        <w:rPr>
          <w:rFonts w:ascii="Times New Roman" w:eastAsia="Times New Roman" w:hAnsi="Times New Roman" w:cs="Times New Roman"/>
          <w:i/>
          <w:iCs/>
          <w:color w:val="000000" w:themeColor="text1"/>
          <w:sz w:val="17"/>
          <w:szCs w:val="17"/>
        </w:rPr>
        <w:t>Apis cerana</w:t>
      </w:r>
      <w:r w:rsidRPr="0070357C">
        <w:rPr>
          <w:rFonts w:ascii="Times New Roman" w:eastAsia="Times New Roman" w:hAnsi="Times New Roman" w:cs="Times New Roman"/>
          <w:color w:val="000000" w:themeColor="text1"/>
          <w:sz w:val="17"/>
          <w:szCs w:val="17"/>
        </w:rPr>
        <w:t xml:space="preserve"> and </w:t>
      </w:r>
      <w:r w:rsidRPr="0070357C">
        <w:rPr>
          <w:rFonts w:ascii="Times New Roman" w:eastAsia="Times New Roman" w:hAnsi="Times New Roman" w:cs="Times New Roman"/>
          <w:i/>
          <w:iCs/>
          <w:color w:val="000000" w:themeColor="text1"/>
          <w:sz w:val="17"/>
          <w:szCs w:val="17"/>
        </w:rPr>
        <w:t>A. mellifera</w:t>
      </w:r>
      <w:r w:rsidRPr="0070357C">
        <w:rPr>
          <w:rFonts w:ascii="Times New Roman" w:eastAsia="Times New Roman" w:hAnsi="Times New Roman" w:cs="Times New Roman"/>
          <w:color w:val="000000" w:themeColor="text1"/>
          <w:sz w:val="17"/>
          <w:szCs w:val="17"/>
        </w:rPr>
        <w:t xml:space="preserve"> through laboratory, semi-field and field studies. </w:t>
      </w:r>
      <w:r w:rsidRPr="0070357C">
        <w:rPr>
          <w:rFonts w:ascii="Times New Roman" w:eastAsia="Times New Roman" w:hAnsi="Times New Roman" w:cs="Times New Roman"/>
          <w:i/>
          <w:iCs/>
          <w:color w:val="000000" w:themeColor="text1"/>
          <w:sz w:val="17"/>
          <w:szCs w:val="17"/>
        </w:rPr>
        <w:t>Chemosphere, 119</w:t>
      </w:r>
      <w:r w:rsidRPr="0070357C">
        <w:rPr>
          <w:rFonts w:ascii="Times New Roman" w:eastAsia="Times New Roman" w:hAnsi="Times New Roman" w:cs="Times New Roman"/>
          <w:color w:val="000000" w:themeColor="text1"/>
          <w:sz w:val="17"/>
          <w:szCs w:val="17"/>
        </w:rPr>
        <w:t xml:space="preserve">, 668–674. </w:t>
      </w:r>
      <w:hyperlink r:id="rId49" w:history="1">
        <w:r w:rsidRPr="0070357C">
          <w:rPr>
            <w:rFonts w:ascii="Times New Roman" w:eastAsia="Times New Roman" w:hAnsi="Times New Roman" w:cs="Times New Roman"/>
            <w:color w:val="000000" w:themeColor="text1"/>
            <w:sz w:val="17"/>
            <w:szCs w:val="17"/>
          </w:rPr>
          <w:t>https://doi.org/10.1016/j.chemosphere.2014.07.039</w:t>
        </w:r>
      </w:hyperlink>
    </w:p>
    <w:p w14:paraId="748271D2"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Thompson, H. M. (2003). </w:t>
      </w:r>
      <w:proofErr w:type="spellStart"/>
      <w:r w:rsidRPr="0070357C">
        <w:rPr>
          <w:rFonts w:ascii="Times New Roman" w:eastAsia="Times New Roman" w:hAnsi="Times New Roman" w:cs="Times New Roman"/>
          <w:color w:val="000000" w:themeColor="text1"/>
          <w:sz w:val="17"/>
          <w:szCs w:val="17"/>
        </w:rPr>
        <w:t>Behavioural</w:t>
      </w:r>
      <w:proofErr w:type="spellEnd"/>
      <w:r w:rsidRPr="0070357C">
        <w:rPr>
          <w:rFonts w:ascii="Times New Roman" w:eastAsia="Times New Roman" w:hAnsi="Times New Roman" w:cs="Times New Roman"/>
          <w:color w:val="000000" w:themeColor="text1"/>
          <w:sz w:val="17"/>
          <w:szCs w:val="17"/>
        </w:rPr>
        <w:t xml:space="preserve"> effects of pesticides in bees—their potential for use in risk assessment. </w:t>
      </w:r>
      <w:r w:rsidRPr="0070357C">
        <w:rPr>
          <w:rFonts w:ascii="Times New Roman" w:eastAsia="Times New Roman" w:hAnsi="Times New Roman" w:cs="Times New Roman"/>
          <w:i/>
          <w:iCs/>
          <w:color w:val="000000" w:themeColor="text1"/>
          <w:sz w:val="17"/>
          <w:szCs w:val="17"/>
        </w:rPr>
        <w:t>Ecotoxicology, 12</w:t>
      </w:r>
      <w:r w:rsidRPr="0070357C">
        <w:rPr>
          <w:rFonts w:ascii="Times New Roman" w:eastAsia="Times New Roman" w:hAnsi="Times New Roman" w:cs="Times New Roman"/>
          <w:color w:val="000000" w:themeColor="text1"/>
          <w:sz w:val="17"/>
          <w:szCs w:val="17"/>
        </w:rPr>
        <w:t xml:space="preserve">(1–4), 317–330. </w:t>
      </w:r>
      <w:hyperlink r:id="rId50" w:history="1">
        <w:r w:rsidRPr="0070357C">
          <w:rPr>
            <w:rFonts w:ascii="Times New Roman" w:eastAsia="Times New Roman" w:hAnsi="Times New Roman" w:cs="Times New Roman"/>
            <w:color w:val="000000" w:themeColor="text1"/>
            <w:sz w:val="17"/>
            <w:szCs w:val="17"/>
          </w:rPr>
          <w:t>https://doi.org/10.1023/A:1022575315413</w:t>
        </w:r>
      </w:hyperlink>
    </w:p>
    <w:p w14:paraId="4B5574B5"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Vijayakumar, K. T., </w:t>
      </w:r>
      <w:proofErr w:type="spellStart"/>
      <w:r w:rsidRPr="0070357C">
        <w:rPr>
          <w:rFonts w:ascii="Times New Roman" w:eastAsia="Times New Roman" w:hAnsi="Times New Roman" w:cs="Times New Roman"/>
          <w:color w:val="000000" w:themeColor="text1"/>
          <w:sz w:val="17"/>
          <w:szCs w:val="17"/>
        </w:rPr>
        <w:t>Nayimabanu</w:t>
      </w:r>
      <w:proofErr w:type="spellEnd"/>
      <w:r w:rsidRPr="0070357C">
        <w:rPr>
          <w:rFonts w:ascii="Times New Roman" w:eastAsia="Times New Roman" w:hAnsi="Times New Roman" w:cs="Times New Roman"/>
          <w:color w:val="000000" w:themeColor="text1"/>
          <w:sz w:val="17"/>
          <w:szCs w:val="17"/>
        </w:rPr>
        <w:t xml:space="preserve">, T., Nithin Kumar, H. L., Shabarish Kumar, S., </w:t>
      </w:r>
      <w:proofErr w:type="spellStart"/>
      <w:r w:rsidRPr="0070357C">
        <w:rPr>
          <w:rFonts w:ascii="Times New Roman" w:eastAsia="Times New Roman" w:hAnsi="Times New Roman" w:cs="Times New Roman"/>
          <w:color w:val="000000" w:themeColor="text1"/>
          <w:sz w:val="17"/>
          <w:szCs w:val="17"/>
        </w:rPr>
        <w:t>Kuberappa</w:t>
      </w:r>
      <w:proofErr w:type="spellEnd"/>
      <w:r w:rsidRPr="0070357C">
        <w:rPr>
          <w:rFonts w:ascii="Times New Roman" w:eastAsia="Times New Roman" w:hAnsi="Times New Roman" w:cs="Times New Roman"/>
          <w:color w:val="000000" w:themeColor="text1"/>
          <w:sz w:val="17"/>
          <w:szCs w:val="17"/>
        </w:rPr>
        <w:t xml:space="preserve">, G. C., </w:t>
      </w:r>
      <w:proofErr w:type="spellStart"/>
      <w:r w:rsidRPr="0070357C">
        <w:rPr>
          <w:rFonts w:ascii="Times New Roman" w:eastAsia="Times New Roman" w:hAnsi="Times New Roman" w:cs="Times New Roman"/>
          <w:color w:val="000000" w:themeColor="text1"/>
          <w:sz w:val="17"/>
          <w:szCs w:val="17"/>
        </w:rPr>
        <w:t>Sringeshwar</w:t>
      </w:r>
      <w:proofErr w:type="spellEnd"/>
      <w:r w:rsidRPr="0070357C">
        <w:rPr>
          <w:rFonts w:ascii="Times New Roman" w:eastAsia="Times New Roman" w:hAnsi="Times New Roman" w:cs="Times New Roman"/>
          <w:color w:val="000000" w:themeColor="text1"/>
          <w:sz w:val="17"/>
          <w:szCs w:val="17"/>
        </w:rPr>
        <w:t xml:space="preserve">, A. N., Sahana, U., &amp; Neethu, T. (2023). A perspective on urban beekeeping with </w:t>
      </w:r>
      <w:r w:rsidRPr="0070357C">
        <w:rPr>
          <w:rFonts w:ascii="Times New Roman" w:eastAsia="Times New Roman" w:hAnsi="Times New Roman" w:cs="Times New Roman"/>
          <w:i/>
          <w:iCs/>
          <w:color w:val="000000" w:themeColor="text1"/>
          <w:sz w:val="17"/>
          <w:szCs w:val="17"/>
        </w:rPr>
        <w:t>Apis cerana</w:t>
      </w:r>
      <w:r w:rsidRPr="0070357C">
        <w:rPr>
          <w:rFonts w:ascii="Times New Roman" w:eastAsia="Times New Roman" w:hAnsi="Times New Roman" w:cs="Times New Roman"/>
          <w:color w:val="000000" w:themeColor="text1"/>
          <w:sz w:val="17"/>
          <w:szCs w:val="17"/>
        </w:rPr>
        <w:t xml:space="preserve"> F. in Bengaluru, Karnataka with special reference to bee flora and hive suitability. </w:t>
      </w:r>
      <w:r w:rsidRPr="0070357C">
        <w:rPr>
          <w:rFonts w:ascii="Times New Roman" w:eastAsia="Times New Roman" w:hAnsi="Times New Roman" w:cs="Times New Roman"/>
          <w:i/>
          <w:iCs/>
          <w:color w:val="000000" w:themeColor="text1"/>
          <w:sz w:val="17"/>
          <w:szCs w:val="17"/>
        </w:rPr>
        <w:t>Indian Journal of Entomology, 85</w:t>
      </w:r>
      <w:r w:rsidRPr="0070357C">
        <w:rPr>
          <w:rFonts w:ascii="Times New Roman" w:eastAsia="Times New Roman" w:hAnsi="Times New Roman" w:cs="Times New Roman"/>
          <w:color w:val="000000" w:themeColor="text1"/>
          <w:sz w:val="17"/>
          <w:szCs w:val="17"/>
        </w:rPr>
        <w:t xml:space="preserve">(Special Issue), 75–83. </w:t>
      </w:r>
      <w:hyperlink r:id="rId51" w:history="1">
        <w:r w:rsidRPr="0070357C">
          <w:rPr>
            <w:rFonts w:ascii="Times New Roman" w:eastAsia="Times New Roman" w:hAnsi="Times New Roman" w:cs="Times New Roman"/>
            <w:color w:val="000000" w:themeColor="text1"/>
            <w:sz w:val="17"/>
            <w:szCs w:val="17"/>
          </w:rPr>
          <w:t>https://doi.org/10.55446/IJE.2023.1165</w:t>
        </w:r>
      </w:hyperlink>
    </w:p>
    <w:p w14:paraId="286B217E"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 xml:space="preserve">Woodcock, B. A., Bullock, J. M., Shore, R. F., Heard, M. S., Pereira, M. G., Redhead, J., Ridding, L., Dean, H., Sleep, D., Henrys, P., Peyton, J., Hulmes, S., Hulmes, L., </w:t>
      </w:r>
      <w:proofErr w:type="spellStart"/>
      <w:r w:rsidRPr="0070357C">
        <w:rPr>
          <w:rFonts w:ascii="Times New Roman" w:eastAsia="Times New Roman" w:hAnsi="Times New Roman" w:cs="Times New Roman"/>
          <w:color w:val="000000" w:themeColor="text1"/>
          <w:sz w:val="17"/>
          <w:szCs w:val="17"/>
        </w:rPr>
        <w:t>Sárospataki</w:t>
      </w:r>
      <w:proofErr w:type="spellEnd"/>
      <w:r w:rsidRPr="0070357C">
        <w:rPr>
          <w:rFonts w:ascii="Times New Roman" w:eastAsia="Times New Roman" w:hAnsi="Times New Roman" w:cs="Times New Roman"/>
          <w:color w:val="000000" w:themeColor="text1"/>
          <w:sz w:val="17"/>
          <w:szCs w:val="17"/>
        </w:rPr>
        <w:t xml:space="preserve">, M., Saure, C., Edwards, M., </w:t>
      </w:r>
      <w:proofErr w:type="spellStart"/>
      <w:r w:rsidRPr="0070357C">
        <w:rPr>
          <w:rFonts w:ascii="Times New Roman" w:eastAsia="Times New Roman" w:hAnsi="Times New Roman" w:cs="Times New Roman"/>
          <w:color w:val="000000" w:themeColor="text1"/>
          <w:sz w:val="17"/>
          <w:szCs w:val="17"/>
        </w:rPr>
        <w:t>Genersch</w:t>
      </w:r>
      <w:proofErr w:type="spellEnd"/>
      <w:r w:rsidRPr="0070357C">
        <w:rPr>
          <w:rFonts w:ascii="Times New Roman" w:eastAsia="Times New Roman" w:hAnsi="Times New Roman" w:cs="Times New Roman"/>
          <w:color w:val="000000" w:themeColor="text1"/>
          <w:sz w:val="17"/>
          <w:szCs w:val="17"/>
        </w:rPr>
        <w:t xml:space="preserve">, E., </w:t>
      </w:r>
      <w:proofErr w:type="spellStart"/>
      <w:r w:rsidRPr="0070357C">
        <w:rPr>
          <w:rFonts w:ascii="Times New Roman" w:eastAsia="Times New Roman" w:hAnsi="Times New Roman" w:cs="Times New Roman"/>
          <w:color w:val="000000" w:themeColor="text1"/>
          <w:sz w:val="17"/>
          <w:szCs w:val="17"/>
        </w:rPr>
        <w:t>Knäbe</w:t>
      </w:r>
      <w:proofErr w:type="spellEnd"/>
      <w:r w:rsidRPr="0070357C">
        <w:rPr>
          <w:rFonts w:ascii="Times New Roman" w:eastAsia="Times New Roman" w:hAnsi="Times New Roman" w:cs="Times New Roman"/>
          <w:color w:val="000000" w:themeColor="text1"/>
          <w:sz w:val="17"/>
          <w:szCs w:val="17"/>
        </w:rPr>
        <w:t xml:space="preserve">, S., &amp; Pywell, R. F. (2017). Country-specific effects of neonicotinoid pesticides on honey bees and wild bees. </w:t>
      </w:r>
      <w:r w:rsidRPr="0070357C">
        <w:rPr>
          <w:rFonts w:ascii="Times New Roman" w:eastAsia="Times New Roman" w:hAnsi="Times New Roman" w:cs="Times New Roman"/>
          <w:i/>
          <w:iCs/>
          <w:color w:val="000000" w:themeColor="text1"/>
          <w:sz w:val="17"/>
          <w:szCs w:val="17"/>
        </w:rPr>
        <w:t>Science, 356</w:t>
      </w:r>
      <w:r w:rsidRPr="0070357C">
        <w:rPr>
          <w:rFonts w:ascii="Times New Roman" w:eastAsia="Times New Roman" w:hAnsi="Times New Roman" w:cs="Times New Roman"/>
          <w:color w:val="000000" w:themeColor="text1"/>
          <w:sz w:val="17"/>
          <w:szCs w:val="17"/>
        </w:rPr>
        <w:t xml:space="preserve">(6345), 1393–1395. </w:t>
      </w:r>
      <w:hyperlink r:id="rId52" w:history="1">
        <w:r w:rsidRPr="0070357C">
          <w:rPr>
            <w:rFonts w:ascii="Times New Roman" w:eastAsia="Times New Roman" w:hAnsi="Times New Roman" w:cs="Times New Roman"/>
            <w:color w:val="000000" w:themeColor="text1"/>
            <w:sz w:val="17"/>
            <w:szCs w:val="17"/>
          </w:rPr>
          <w:t>https://doi.org/10.1126/science.aaa1190</w:t>
        </w:r>
      </w:hyperlink>
    </w:p>
    <w:p w14:paraId="30F09B2B"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70357C">
        <w:rPr>
          <w:rFonts w:ascii="Times New Roman" w:eastAsia="Times New Roman" w:hAnsi="Times New Roman" w:cs="Times New Roman"/>
          <w:color w:val="000000" w:themeColor="text1"/>
          <w:sz w:val="17"/>
          <w:szCs w:val="17"/>
        </w:rPr>
        <w:t>Zapata-Hernández, G., Gajardo-Rojas, M., Calderón-</w:t>
      </w:r>
      <w:proofErr w:type="spellStart"/>
      <w:r w:rsidRPr="0070357C">
        <w:rPr>
          <w:rFonts w:ascii="Times New Roman" w:eastAsia="Times New Roman" w:hAnsi="Times New Roman" w:cs="Times New Roman"/>
          <w:color w:val="000000" w:themeColor="text1"/>
          <w:sz w:val="17"/>
          <w:szCs w:val="17"/>
        </w:rPr>
        <w:t>Seguel</w:t>
      </w:r>
      <w:proofErr w:type="spellEnd"/>
      <w:r w:rsidRPr="0070357C">
        <w:rPr>
          <w:rFonts w:ascii="Times New Roman" w:eastAsia="Times New Roman" w:hAnsi="Times New Roman" w:cs="Times New Roman"/>
          <w:color w:val="000000" w:themeColor="text1"/>
          <w:sz w:val="17"/>
          <w:szCs w:val="17"/>
        </w:rPr>
        <w:t xml:space="preserve">, M., Muñoz, A. A., Yáñez, K. P., </w:t>
      </w:r>
      <w:proofErr w:type="spellStart"/>
      <w:r w:rsidRPr="0070357C">
        <w:rPr>
          <w:rFonts w:ascii="Times New Roman" w:eastAsia="Times New Roman" w:hAnsi="Times New Roman" w:cs="Times New Roman"/>
          <w:color w:val="000000" w:themeColor="text1"/>
          <w:sz w:val="17"/>
          <w:szCs w:val="17"/>
        </w:rPr>
        <w:t>Requier</w:t>
      </w:r>
      <w:proofErr w:type="spellEnd"/>
      <w:r w:rsidRPr="0070357C">
        <w:rPr>
          <w:rFonts w:ascii="Times New Roman" w:eastAsia="Times New Roman" w:hAnsi="Times New Roman" w:cs="Times New Roman"/>
          <w:color w:val="000000" w:themeColor="text1"/>
          <w:sz w:val="17"/>
          <w:szCs w:val="17"/>
        </w:rPr>
        <w:t xml:space="preserve">, F., Fontúrbel, F. E., Ormeño-Arriagada, P. I., &amp; Arrieta, H. (2024). Advances and knowledge gaps on climate change impacts on honey bees and beekeeping: A systematic review. </w:t>
      </w:r>
      <w:r w:rsidRPr="0070357C">
        <w:rPr>
          <w:rFonts w:ascii="Times New Roman" w:eastAsia="Times New Roman" w:hAnsi="Times New Roman" w:cs="Times New Roman"/>
          <w:i/>
          <w:iCs/>
          <w:color w:val="000000" w:themeColor="text1"/>
          <w:sz w:val="17"/>
          <w:szCs w:val="17"/>
        </w:rPr>
        <w:t>Global Change Biology, 30</w:t>
      </w:r>
      <w:r w:rsidRPr="0070357C">
        <w:rPr>
          <w:rFonts w:ascii="Times New Roman" w:eastAsia="Times New Roman" w:hAnsi="Times New Roman" w:cs="Times New Roman"/>
          <w:color w:val="000000" w:themeColor="text1"/>
          <w:sz w:val="17"/>
          <w:szCs w:val="17"/>
        </w:rPr>
        <w:t xml:space="preserve">(3), e17219. </w:t>
      </w:r>
      <w:hyperlink r:id="rId53" w:history="1">
        <w:r w:rsidRPr="0070357C">
          <w:rPr>
            <w:rFonts w:ascii="Times New Roman" w:eastAsia="Times New Roman" w:hAnsi="Times New Roman" w:cs="Times New Roman"/>
            <w:color w:val="000000" w:themeColor="text1"/>
            <w:sz w:val="17"/>
            <w:szCs w:val="17"/>
          </w:rPr>
          <w:t>https://doi.org/10.1111/gcb.17219</w:t>
        </w:r>
      </w:hyperlink>
    </w:p>
    <w:p w14:paraId="197D8389" w14:textId="77777777" w:rsidR="0070357C" w:rsidRPr="0070357C" w:rsidRDefault="0070357C" w:rsidP="0070357C">
      <w:pPr>
        <w:spacing w:after="0" w:line="240" w:lineRule="auto"/>
        <w:ind w:left="540" w:hanging="540"/>
        <w:jc w:val="both"/>
        <w:rPr>
          <w:rFonts w:ascii="Times New Roman" w:eastAsia="Times New Roman" w:hAnsi="Times New Roman" w:cs="Times New Roman"/>
          <w:color w:val="000000" w:themeColor="text1"/>
          <w:sz w:val="17"/>
          <w:szCs w:val="17"/>
        </w:rPr>
      </w:pPr>
      <w:r w:rsidRPr="00D354FA">
        <w:rPr>
          <w:rFonts w:ascii="Times New Roman" w:eastAsia="Times New Roman" w:hAnsi="Times New Roman" w:cs="Times New Roman"/>
          <w:color w:val="000000" w:themeColor="text1"/>
          <w:sz w:val="17"/>
          <w:szCs w:val="17"/>
          <w:lang w:val="en-GB"/>
        </w:rPr>
        <w:t xml:space="preserve">Zhang, C., Wang, X., Kaur, P., &amp; Gan, J. (2023). </w:t>
      </w:r>
      <w:r w:rsidRPr="0070357C">
        <w:rPr>
          <w:rFonts w:ascii="Times New Roman" w:eastAsia="Times New Roman" w:hAnsi="Times New Roman" w:cs="Times New Roman"/>
          <w:color w:val="000000" w:themeColor="text1"/>
          <w:sz w:val="17"/>
          <w:szCs w:val="17"/>
        </w:rPr>
        <w:t xml:space="preserve">A critical review on the accumulation of neonicotinoid insecticides in pollen and nectar: Influencing factors and implications for pollinator exposure. </w:t>
      </w:r>
      <w:r w:rsidRPr="0070357C">
        <w:rPr>
          <w:rFonts w:ascii="Times New Roman" w:eastAsia="Times New Roman" w:hAnsi="Times New Roman" w:cs="Times New Roman"/>
          <w:i/>
          <w:iCs/>
          <w:color w:val="000000" w:themeColor="text1"/>
          <w:sz w:val="17"/>
          <w:szCs w:val="17"/>
        </w:rPr>
        <w:t>Science of the Total Environment, 899</w:t>
      </w:r>
      <w:r w:rsidRPr="0070357C">
        <w:rPr>
          <w:rFonts w:ascii="Times New Roman" w:eastAsia="Times New Roman" w:hAnsi="Times New Roman" w:cs="Times New Roman"/>
          <w:color w:val="000000" w:themeColor="text1"/>
          <w:sz w:val="17"/>
          <w:szCs w:val="17"/>
        </w:rPr>
        <w:t xml:space="preserve">, 165670. </w:t>
      </w:r>
      <w:hyperlink r:id="rId54" w:history="1">
        <w:r w:rsidRPr="0070357C">
          <w:rPr>
            <w:rFonts w:ascii="Times New Roman" w:eastAsia="Times New Roman" w:hAnsi="Times New Roman" w:cs="Times New Roman"/>
            <w:color w:val="000000" w:themeColor="text1"/>
            <w:sz w:val="17"/>
            <w:szCs w:val="17"/>
          </w:rPr>
          <w:t>https://doi.org/10.1016/j.scitotenv.2023.165670</w:t>
        </w:r>
      </w:hyperlink>
    </w:p>
    <w:p w14:paraId="7F2BDA1C" w14:textId="77777777" w:rsidR="0070357C" w:rsidRPr="0070357C" w:rsidRDefault="0070357C" w:rsidP="0070357C">
      <w:pPr>
        <w:spacing w:after="0" w:line="240" w:lineRule="auto"/>
        <w:ind w:left="540" w:hanging="540"/>
        <w:jc w:val="both"/>
        <w:rPr>
          <w:rFonts w:ascii="Times New Roman" w:eastAsia="Times New Roman" w:hAnsi="Times New Roman" w:cs="Times New Roman"/>
          <w:b/>
          <w:bCs/>
          <w:color w:val="000000" w:themeColor="text1"/>
          <w:sz w:val="17"/>
          <w:szCs w:val="17"/>
        </w:rPr>
      </w:pPr>
      <w:r w:rsidRPr="0070357C">
        <w:rPr>
          <w:rFonts w:ascii="Times New Roman" w:eastAsia="Times New Roman" w:hAnsi="Times New Roman" w:cs="Times New Roman"/>
          <w:color w:val="000000" w:themeColor="text1"/>
          <w:sz w:val="17"/>
          <w:szCs w:val="17"/>
        </w:rPr>
        <w:t xml:space="preserve">Zhu, W., Schmehl, D. R., Mullin, C. A., &amp; Frazier, J. L. (2014). Four common pesticides, their mixtures and a formulation solvent in the hive environment have high oral toxicity to honey bee larvae. </w:t>
      </w:r>
      <w:r w:rsidRPr="0070357C">
        <w:rPr>
          <w:rFonts w:ascii="Times New Roman" w:eastAsia="Times New Roman" w:hAnsi="Times New Roman" w:cs="Times New Roman"/>
          <w:i/>
          <w:iCs/>
          <w:color w:val="000000" w:themeColor="text1"/>
          <w:sz w:val="17"/>
          <w:szCs w:val="17"/>
        </w:rPr>
        <w:t>PLOS ONE, 9</w:t>
      </w:r>
      <w:r w:rsidRPr="0070357C">
        <w:rPr>
          <w:rFonts w:ascii="Times New Roman" w:eastAsia="Times New Roman" w:hAnsi="Times New Roman" w:cs="Times New Roman"/>
          <w:color w:val="000000" w:themeColor="text1"/>
          <w:sz w:val="17"/>
          <w:szCs w:val="17"/>
        </w:rPr>
        <w:t xml:space="preserve">(1), e77547. </w:t>
      </w:r>
      <w:hyperlink r:id="rId55" w:history="1">
        <w:r w:rsidRPr="0070357C">
          <w:rPr>
            <w:rFonts w:ascii="Times New Roman" w:eastAsia="Times New Roman" w:hAnsi="Times New Roman" w:cs="Times New Roman"/>
            <w:color w:val="000000" w:themeColor="text1"/>
            <w:sz w:val="17"/>
            <w:szCs w:val="17"/>
          </w:rPr>
          <w:t>https://doi.org/10.1371/journal.pone.0077547</w:t>
        </w:r>
      </w:hyperlink>
    </w:p>
    <w:p w14:paraId="381E616B" w14:textId="77777777" w:rsidR="00D851AD" w:rsidRPr="0070357C" w:rsidRDefault="00D851AD" w:rsidP="00BD060A">
      <w:pPr>
        <w:keepNext/>
        <w:spacing w:after="0" w:line="240" w:lineRule="auto"/>
        <w:contextualSpacing/>
        <w:jc w:val="both"/>
        <w:rPr>
          <w:rFonts w:ascii="Times New Roman" w:eastAsia="Times New Roman" w:hAnsi="Times New Roman" w:cs="Times New Roman"/>
          <w:b/>
          <w:sz w:val="17"/>
          <w:szCs w:val="17"/>
        </w:rPr>
      </w:pPr>
    </w:p>
    <w:p w14:paraId="008C27CE" w14:textId="15B2D0C9" w:rsidR="00D851AD" w:rsidRPr="0070357C" w:rsidRDefault="006A1899" w:rsidP="00BD060A">
      <w:pPr>
        <w:keepNext/>
        <w:spacing w:after="0" w:line="240" w:lineRule="auto"/>
        <w:contextualSpacing/>
        <w:jc w:val="both"/>
        <w:rPr>
          <w:rFonts w:ascii="Times New Roman" w:eastAsia="Times New Roman" w:hAnsi="Times New Roman" w:cs="Times New Roman"/>
          <w:b/>
          <w:sz w:val="15"/>
          <w:szCs w:val="15"/>
        </w:rPr>
      </w:pPr>
      <w:r w:rsidRPr="0070357C">
        <w:rPr>
          <w:rFonts w:ascii="Times New Roman" w:eastAsia="Calibri" w:hAnsi="Times New Roman" w:cs="Times New Roman"/>
          <w:b/>
          <w:bCs/>
          <w:kern w:val="2"/>
          <w:sz w:val="15"/>
          <w:szCs w:val="15"/>
          <w:lang w:val="en-GB"/>
        </w:rPr>
        <w:t xml:space="preserve">Disclaimer/Publisher’s Note: </w:t>
      </w:r>
      <w:r w:rsidRPr="0070357C">
        <w:rPr>
          <w:rFonts w:ascii="Times New Roman" w:eastAsia="Calibri" w:hAnsi="Times New Roman" w:cs="Times New Roman"/>
          <w:kern w:val="2"/>
          <w:sz w:val="15"/>
          <w:szCs w:val="15"/>
          <w:lang w:val="en-GB"/>
        </w:rPr>
        <w:t>The statements, opinions and data contained in all publications are solely those of the individual author(s) and contributor(s) and not of the publisher and/or the editor(s). This publisher and/or the editor(s) disclaim responsibility for any injury to people or property resulting from any ideas, methods, instructions or products referred to in the content.</w:t>
      </w:r>
    </w:p>
    <w:p w14:paraId="73C17CF6" w14:textId="77777777" w:rsidR="00BD060A" w:rsidRPr="0070357C" w:rsidRDefault="00BD060A" w:rsidP="00E702F4">
      <w:pPr>
        <w:spacing w:after="0" w:line="240" w:lineRule="auto"/>
        <w:ind w:left="540" w:hanging="540"/>
        <w:jc w:val="center"/>
        <w:rPr>
          <w:rFonts w:ascii="Times New Roman" w:eastAsia="Times New Roman" w:hAnsi="Times New Roman" w:cs="Times New Roman"/>
          <w:i/>
          <w:sz w:val="16"/>
          <w:szCs w:val="20"/>
        </w:rPr>
      </w:pPr>
    </w:p>
    <w:p w14:paraId="60E3EB8E" w14:textId="760A952A" w:rsidR="00CD3A89" w:rsidRDefault="00BC383B" w:rsidP="00380ACB">
      <w:pPr>
        <w:pBdr>
          <w:top w:val="single" w:sz="4" w:space="1" w:color="auto"/>
        </w:pBdr>
        <w:spacing w:after="0" w:line="240" w:lineRule="auto"/>
        <w:jc w:val="both"/>
        <w:rPr>
          <w:rFonts w:ascii="Times New Roman" w:hAnsi="Times New Roman" w:cs="Times New Roman"/>
        </w:rPr>
      </w:pPr>
      <w:r w:rsidRPr="0070357C">
        <w:rPr>
          <w:rFonts w:ascii="Times New Roman" w:eastAsia="Calibri" w:hAnsi="Times New Roman" w:cs="Times New Roman"/>
          <w:i/>
          <w:iCs/>
          <w:kern w:val="2"/>
          <w:sz w:val="16"/>
          <w:szCs w:val="16"/>
          <w:lang w:val="en-GB"/>
        </w:rPr>
        <w:t>© Copyright (202</w:t>
      </w:r>
      <w:r w:rsidR="009208EC" w:rsidRPr="0070357C">
        <w:rPr>
          <w:rFonts w:ascii="Times New Roman" w:eastAsia="Calibri" w:hAnsi="Times New Roman" w:cs="Times New Roman"/>
          <w:i/>
          <w:iCs/>
          <w:kern w:val="2"/>
          <w:sz w:val="16"/>
          <w:szCs w:val="16"/>
          <w:lang w:val="en-GB"/>
        </w:rPr>
        <w:t>6</w:t>
      </w:r>
      <w:r w:rsidRPr="0070357C">
        <w:rPr>
          <w:rFonts w:ascii="Times New Roman" w:eastAsia="Calibri" w:hAnsi="Times New Roman" w:cs="Times New Roman"/>
          <w:i/>
          <w:iCs/>
          <w:kern w:val="2"/>
          <w:sz w:val="16"/>
          <w:szCs w:val="16"/>
          <w:lang w:val="en-GB"/>
        </w:rPr>
        <w:t>): Author(s). The licensee is the journal publisher. This is an Open Access article distributed under the terms of the Creative Commons Attribution License (</w:t>
      </w:r>
      <w:r w:rsidRPr="0070357C">
        <w:rPr>
          <w:rFonts w:ascii="Times New Roman" w:eastAsia="Calibri" w:hAnsi="Times New Roman" w:cs="Times New Roman"/>
          <w:i/>
          <w:iCs/>
          <w:color w:val="0000FF"/>
          <w:kern w:val="2"/>
          <w:sz w:val="16"/>
          <w:szCs w:val="16"/>
          <w:lang w:val="en-GB"/>
        </w:rPr>
        <w:t>http://creativecommons.org/licenses/by/4.0</w:t>
      </w:r>
      <w:r w:rsidRPr="0070357C">
        <w:rPr>
          <w:rFonts w:ascii="Times New Roman" w:eastAsia="Calibri" w:hAnsi="Times New Roman" w:cs="Times New Roman"/>
          <w:i/>
          <w:iCs/>
          <w:kern w:val="2"/>
          <w:sz w:val="16"/>
          <w:szCs w:val="16"/>
          <w:lang w:val="en-GB"/>
        </w:rPr>
        <w:t>), which permits unrestricted use, distribution, and reproduction in any medium, provided the original work is properly cited.</w:t>
      </w:r>
      <w:r w:rsidR="00BD060A" w:rsidRPr="007B65D1">
        <w:rPr>
          <w:rFonts w:ascii="Times New Roman" w:hAnsi="Times New Roman" w:cs="Times New Roman"/>
        </w:rPr>
        <w:t xml:space="preserve"> </w:t>
      </w:r>
    </w:p>
    <w:p w14:paraId="3DC2F225" w14:textId="77777777" w:rsidR="00D354FA" w:rsidRDefault="00D354FA" w:rsidP="00380ACB">
      <w:pPr>
        <w:pBdr>
          <w:top w:val="single" w:sz="4" w:space="1" w:color="auto"/>
        </w:pBdr>
        <w:spacing w:after="0" w:line="240" w:lineRule="auto"/>
        <w:jc w:val="both"/>
        <w:rPr>
          <w:rFonts w:ascii="Times New Roman" w:hAnsi="Times New Roman" w:cs="Times New Roman"/>
        </w:rPr>
      </w:pPr>
    </w:p>
    <w:p w14:paraId="5A3949C1" w14:textId="6A6EC9BC" w:rsidR="00D354FA" w:rsidRPr="007B65D1" w:rsidRDefault="00000000" w:rsidP="00380ACB">
      <w:pPr>
        <w:pBdr>
          <w:top w:val="single" w:sz="4" w:space="1" w:color="auto"/>
        </w:pBdr>
        <w:spacing w:after="0" w:line="240" w:lineRule="auto"/>
        <w:jc w:val="both"/>
        <w:rPr>
          <w:rFonts w:ascii="Times New Roman" w:hAnsi="Times New Roman" w:cs="Times New Roman"/>
        </w:rPr>
      </w:pPr>
      <w:r>
        <w:pict w14:anchorId="0AC9EC9B">
          <v:rect id="Rectangle 30" o:spid="_x0000_s2085" style="width:450.35pt;height:45pt;visibility:visible;mso-wrap-style:square;mso-left-percent:-10001;mso-top-percent:-10001;mso-position-horizontal:absolute;mso-position-horizontal-relative:char;mso-position-vertical:absolute;mso-position-vertical-relative:line;mso-left-percent:-10001;mso-top-percent:-10001;v-text-anchor:top" strokeweight="1pt">
            <v:textbox>
              <w:txbxContent>
                <w:p w14:paraId="282AC10C" w14:textId="77777777" w:rsidR="00D354FA" w:rsidRPr="0034489C" w:rsidRDefault="00D354FA" w:rsidP="00D354FA">
                  <w:pPr>
                    <w:pStyle w:val="FrameContents"/>
                    <w:spacing w:after="0" w:line="240" w:lineRule="auto"/>
                    <w:jc w:val="center"/>
                    <w:rPr>
                      <w:rFonts w:ascii="Times New Roman" w:hAnsi="Times New Roman" w:cs="Times New Roman"/>
                      <w:i/>
                      <w:sz w:val="17"/>
                      <w:szCs w:val="17"/>
                    </w:rPr>
                  </w:pPr>
                  <w:r w:rsidRPr="0034489C">
                    <w:rPr>
                      <w:rFonts w:ascii="Times New Roman" w:hAnsi="Times New Roman" w:cs="Times New Roman"/>
                      <w:i/>
                      <w:sz w:val="17"/>
                      <w:szCs w:val="17"/>
                    </w:rPr>
                    <w:t>Peer-review history:</w:t>
                  </w:r>
                </w:p>
                <w:p w14:paraId="0B3CB2DE" w14:textId="77777777" w:rsidR="00D354FA" w:rsidRPr="00FF45EE" w:rsidRDefault="00D354FA" w:rsidP="00D354FA">
                  <w:pPr>
                    <w:pStyle w:val="FrameContents"/>
                    <w:spacing w:after="0" w:line="240" w:lineRule="auto"/>
                    <w:jc w:val="center"/>
                    <w:rPr>
                      <w:rFonts w:ascii="Times New Roman" w:hAnsi="Times New Roman" w:cs="Times New Roman"/>
                      <w:i/>
                      <w:sz w:val="17"/>
                      <w:szCs w:val="17"/>
                    </w:rPr>
                  </w:pPr>
                  <w:r w:rsidRPr="0034489C">
                    <w:rPr>
                      <w:rFonts w:ascii="Times New Roman" w:hAnsi="Times New Roman" w:cs="Times New Roman"/>
                      <w:i/>
                      <w:sz w:val="17"/>
                      <w:szCs w:val="17"/>
                    </w:rPr>
                    <w:t>Th</w:t>
                  </w:r>
                  <w:r w:rsidRPr="00FF45EE">
                    <w:rPr>
                      <w:rFonts w:ascii="Times New Roman" w:hAnsi="Times New Roman" w:cs="Times New Roman"/>
                      <w:i/>
                      <w:sz w:val="17"/>
                      <w:szCs w:val="17"/>
                    </w:rPr>
                    <w:t>e peer review history for this paper can be accessed here:</w:t>
                  </w:r>
                </w:p>
                <w:p w14:paraId="32A6A965" w14:textId="386CDB9E" w:rsidR="00D354FA" w:rsidRPr="00FF45EE" w:rsidRDefault="00FF45EE" w:rsidP="00D354FA">
                  <w:pPr>
                    <w:pStyle w:val="FrameContents"/>
                    <w:spacing w:after="0" w:line="240" w:lineRule="auto"/>
                    <w:jc w:val="center"/>
                    <w:rPr>
                      <w:rFonts w:ascii="Times New Roman" w:hAnsi="Times New Roman" w:cs="Times New Roman"/>
                      <w:i/>
                      <w:sz w:val="17"/>
                      <w:szCs w:val="17"/>
                    </w:rPr>
                  </w:pPr>
                  <w:hyperlink r:id="rId56" w:history="1">
                    <w:r w:rsidRPr="00FF45EE">
                      <w:rPr>
                        <w:rStyle w:val="Hyperlink"/>
                        <w:rFonts w:ascii="Times New Roman" w:hAnsi="Times New Roman" w:cs="Times New Roman"/>
                        <w:i/>
                        <w:sz w:val="17"/>
                        <w:szCs w:val="17"/>
                        <w:u w:val="none"/>
                      </w:rPr>
                      <w:t>https://pr.sdiarticle5.com/review-history/166665</w:t>
                    </w:r>
                  </w:hyperlink>
                  <w:r w:rsidRPr="00FF45EE">
                    <w:rPr>
                      <w:rFonts w:ascii="Times New Roman" w:hAnsi="Times New Roman" w:cs="Times New Roman"/>
                      <w:i/>
                      <w:sz w:val="17"/>
                      <w:szCs w:val="17"/>
                    </w:rPr>
                    <w:t xml:space="preserve"> </w:t>
                  </w:r>
                </w:p>
              </w:txbxContent>
            </v:textbox>
            <w10:anchorlock/>
          </v:rect>
        </w:pict>
      </w:r>
    </w:p>
    <w:sectPr w:rsidR="00D354FA" w:rsidRPr="007B65D1" w:rsidSect="00FF45EE">
      <w:headerReference w:type="default" r:id="rId57"/>
      <w:footerReference w:type="default" r:id="rId58"/>
      <w:footerReference w:type="first" r:id="rId59"/>
      <w:type w:val="continuous"/>
      <w:pgSz w:w="11909" w:h="16834" w:code="9"/>
      <w:pgMar w:top="1440" w:right="1440" w:bottom="1440" w:left="1440" w:header="720" w:footer="864" w:gutter="0"/>
      <w:pgNumType w:start="22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D435" w14:textId="77777777" w:rsidR="00FF6BA5" w:rsidRDefault="00FF6BA5" w:rsidP="00CD3A89">
      <w:pPr>
        <w:spacing w:after="0" w:line="240" w:lineRule="auto"/>
      </w:pPr>
      <w:r>
        <w:separator/>
      </w:r>
    </w:p>
  </w:endnote>
  <w:endnote w:type="continuationSeparator" w:id="0">
    <w:p w14:paraId="5EF117A4" w14:textId="77777777" w:rsidR="00FF6BA5" w:rsidRDefault="00FF6BA5" w:rsidP="00CD3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593113"/>
      <w:docPartObj>
        <w:docPartGallery w:val="Page Numbers (Bottom of Page)"/>
        <w:docPartUnique/>
      </w:docPartObj>
    </w:sdtPr>
    <w:sdtContent>
      <w:p w14:paraId="244C5D3E" w14:textId="77777777" w:rsidR="00F6450F" w:rsidRPr="007B65D1" w:rsidRDefault="00F6450F">
        <w:pPr>
          <w:pStyle w:val="Footer"/>
          <w:jc w:val="center"/>
          <w:rPr>
            <w:rFonts w:ascii="Times New Roman" w:hAnsi="Times New Roman" w:cs="Times New Roman"/>
            <w:sz w:val="28"/>
          </w:rPr>
        </w:pPr>
      </w:p>
      <w:p w14:paraId="20A1C92D" w14:textId="77777777" w:rsidR="00263AE4" w:rsidRPr="007B65D1" w:rsidRDefault="001F5D59">
        <w:pPr>
          <w:pStyle w:val="Footer"/>
          <w:jc w:val="center"/>
          <w:rPr>
            <w:rFonts w:ascii="Times New Roman" w:hAnsi="Times New Roman" w:cs="Times New Roman"/>
            <w:sz w:val="20"/>
          </w:rPr>
        </w:pPr>
        <w:r w:rsidRPr="007B65D1">
          <w:rPr>
            <w:rFonts w:ascii="Times New Roman" w:hAnsi="Times New Roman" w:cs="Times New Roman"/>
            <w:sz w:val="20"/>
          </w:rPr>
          <w:fldChar w:fldCharType="begin"/>
        </w:r>
        <w:r w:rsidR="00A22248" w:rsidRPr="007B65D1">
          <w:rPr>
            <w:rFonts w:ascii="Times New Roman" w:hAnsi="Times New Roman" w:cs="Times New Roman"/>
            <w:sz w:val="20"/>
          </w:rPr>
          <w:instrText xml:space="preserve"> PAGE   \* MERGEFORMAT </w:instrText>
        </w:r>
        <w:r w:rsidRPr="007B65D1">
          <w:rPr>
            <w:rFonts w:ascii="Times New Roman" w:hAnsi="Times New Roman" w:cs="Times New Roman"/>
            <w:sz w:val="20"/>
          </w:rPr>
          <w:fldChar w:fldCharType="separate"/>
        </w:r>
        <w:r w:rsidR="00345B25" w:rsidRPr="007B65D1">
          <w:rPr>
            <w:rFonts w:ascii="Times New Roman" w:hAnsi="Times New Roman" w:cs="Times New Roman"/>
            <w:noProof/>
            <w:sz w:val="20"/>
          </w:rPr>
          <w:t>2</w:t>
        </w:r>
        <w:r w:rsidRPr="007B65D1">
          <w:rPr>
            <w:rFonts w:ascii="Times New Roman" w:hAnsi="Times New Roman" w:cs="Times New Roman"/>
            <w:sz w:val="20"/>
          </w:rPr>
          <w:fldChar w:fldCharType="end"/>
        </w:r>
      </w:p>
      <w:p w14:paraId="79AF78EB" w14:textId="77777777" w:rsidR="00485F13" w:rsidRPr="007B65D1" w:rsidRDefault="00000000">
        <w:pPr>
          <w:pStyle w:val="Footer"/>
          <w:jc w:val="center"/>
          <w:rPr>
            <w:rFonts w:ascii="Times New Roman" w:hAnsi="Times New Roman" w:cs="Times New Roman"/>
            <w:sz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34A1" w14:textId="41A94956" w:rsidR="00E72385" w:rsidRPr="007B65D1" w:rsidRDefault="00E72385" w:rsidP="00E72385">
    <w:pPr>
      <w:tabs>
        <w:tab w:val="center" w:pos="4320"/>
        <w:tab w:val="right" w:pos="8640"/>
      </w:tabs>
      <w:spacing w:after="0" w:line="240" w:lineRule="auto"/>
      <w:rPr>
        <w:rFonts w:ascii="Times New Roman" w:eastAsia="Times New Roman" w:hAnsi="Times New Roman" w:cs="Times New Roman"/>
        <w:sz w:val="16"/>
        <w:szCs w:val="20"/>
      </w:rPr>
    </w:pPr>
    <w:r w:rsidRPr="007B65D1">
      <w:rPr>
        <w:rFonts w:ascii="Times New Roman" w:eastAsia="Times New Roman" w:hAnsi="Times New Roman" w:cs="Times New Roman"/>
        <w:sz w:val="16"/>
        <w:szCs w:val="20"/>
      </w:rPr>
      <w:t>____________________________________________</w:t>
    </w:r>
    <w:r w:rsidRPr="007B65D1">
      <w:rPr>
        <w:rFonts w:ascii="Times New Roman" w:eastAsia="Times New Roman" w:hAnsi="Times New Roman" w:cs="Times New Roman"/>
        <w:sz w:val="16"/>
        <w:szCs w:val="20"/>
      </w:rPr>
      <w:softHyphen/>
    </w:r>
    <w:r w:rsidRPr="007B65D1">
      <w:rPr>
        <w:rFonts w:ascii="Times New Roman" w:eastAsia="Times New Roman" w:hAnsi="Times New Roman" w:cs="Times New Roman"/>
        <w:sz w:val="16"/>
        <w:szCs w:val="20"/>
      </w:rPr>
      <w:softHyphen/>
    </w:r>
    <w:r w:rsidRPr="007B65D1">
      <w:rPr>
        <w:rFonts w:ascii="Times New Roman" w:eastAsia="Times New Roman" w:hAnsi="Times New Roman" w:cs="Times New Roman"/>
        <w:sz w:val="16"/>
        <w:szCs w:val="20"/>
      </w:rPr>
      <w:softHyphen/>
    </w:r>
    <w:r w:rsidRPr="007B65D1">
      <w:rPr>
        <w:rFonts w:ascii="Times New Roman" w:eastAsia="Times New Roman" w:hAnsi="Times New Roman" w:cs="Times New Roman"/>
        <w:sz w:val="16"/>
        <w:szCs w:val="20"/>
      </w:rPr>
      <w:softHyphen/>
    </w:r>
    <w:r w:rsidRPr="007B65D1">
      <w:rPr>
        <w:rFonts w:ascii="Times New Roman" w:eastAsia="Times New Roman" w:hAnsi="Times New Roman" w:cs="Times New Roman"/>
        <w:sz w:val="16"/>
        <w:szCs w:val="20"/>
      </w:rPr>
      <w:softHyphen/>
      <w:t>_________________________________________________________</w:t>
    </w:r>
    <w:r w:rsidR="007B65D1">
      <w:rPr>
        <w:rFonts w:ascii="Times New Roman" w:eastAsia="Times New Roman" w:hAnsi="Times New Roman" w:cs="Times New Roman"/>
        <w:sz w:val="16"/>
        <w:szCs w:val="20"/>
      </w:rPr>
      <w:t>___________</w:t>
    </w:r>
  </w:p>
  <w:p w14:paraId="7BB6EB23" w14:textId="77777777" w:rsidR="00E72385" w:rsidRPr="007B65D1" w:rsidRDefault="00E72385" w:rsidP="00E72385">
    <w:pPr>
      <w:spacing w:after="0" w:line="240" w:lineRule="auto"/>
      <w:jc w:val="both"/>
      <w:rPr>
        <w:rFonts w:ascii="Times New Roman" w:eastAsia="Times New Roman" w:hAnsi="Times New Roman" w:cs="Times New Roman"/>
        <w:i/>
        <w:sz w:val="16"/>
        <w:szCs w:val="20"/>
      </w:rPr>
    </w:pPr>
  </w:p>
  <w:p w14:paraId="33679813" w14:textId="47083380" w:rsidR="00E72385" w:rsidRPr="007B65D1" w:rsidRDefault="00E72385" w:rsidP="00E72385">
    <w:pPr>
      <w:spacing w:after="0" w:line="240" w:lineRule="auto"/>
      <w:jc w:val="both"/>
      <w:rPr>
        <w:rFonts w:ascii="Times New Roman" w:eastAsia="Times New Roman" w:hAnsi="Times New Roman" w:cs="Times New Roman"/>
        <w:i/>
        <w:sz w:val="16"/>
        <w:szCs w:val="20"/>
      </w:rPr>
    </w:pPr>
    <w:r w:rsidRPr="007B65D1">
      <w:rPr>
        <w:rFonts w:ascii="Times New Roman" w:eastAsia="Times New Roman" w:hAnsi="Times New Roman" w:cs="Times New Roman"/>
        <w:i/>
        <w:sz w:val="16"/>
        <w:szCs w:val="20"/>
      </w:rPr>
      <w:t xml:space="preserve">*Corresponding author: Email: </w:t>
    </w:r>
    <w:hyperlink r:id="rId1" w:history="1">
      <w:r w:rsidR="00EC6CD3" w:rsidRPr="00EC6CD3">
        <w:rPr>
          <w:rStyle w:val="Hyperlink"/>
          <w:rFonts w:ascii="Times New Roman" w:eastAsia="Times New Roman" w:hAnsi="Times New Roman" w:cs="Times New Roman"/>
          <w:i/>
          <w:color w:val="000000" w:themeColor="text1"/>
          <w:sz w:val="16"/>
          <w:szCs w:val="20"/>
          <w:u w:val="none"/>
          <w:lang w:val="en"/>
        </w:rPr>
        <w:t>himanshujaiswal2312001@gmail.com</w:t>
      </w:r>
    </w:hyperlink>
    <w:r w:rsidR="00EC6CD3" w:rsidRPr="00EC6CD3">
      <w:rPr>
        <w:rFonts w:ascii="Times New Roman" w:eastAsia="Times New Roman" w:hAnsi="Times New Roman" w:cs="Times New Roman"/>
        <w:i/>
        <w:color w:val="000000" w:themeColor="text1"/>
        <w:sz w:val="16"/>
        <w:szCs w:val="20"/>
      </w:rPr>
      <w:t>;</w:t>
    </w:r>
  </w:p>
  <w:p w14:paraId="2841DC35" w14:textId="77777777" w:rsidR="00345B25" w:rsidRPr="007B65D1" w:rsidRDefault="00345B25" w:rsidP="00E72385">
    <w:pPr>
      <w:spacing w:after="0" w:line="240" w:lineRule="auto"/>
      <w:jc w:val="both"/>
      <w:rPr>
        <w:rFonts w:ascii="Times New Roman" w:eastAsia="Times New Roman" w:hAnsi="Times New Roman" w:cs="Times New Roman"/>
        <w:i/>
        <w:sz w:val="16"/>
        <w:szCs w:val="20"/>
      </w:rPr>
    </w:pPr>
  </w:p>
  <w:p w14:paraId="37570B0B" w14:textId="78BEFFCB" w:rsidR="006A1899" w:rsidRPr="00BD4554" w:rsidRDefault="00AE0EB4" w:rsidP="00BD4554">
    <w:pPr>
      <w:pStyle w:val="Footer"/>
      <w:rPr>
        <w:rFonts w:ascii="Times New Roman" w:hAnsi="Times New Roman" w:cs="Times New Roman"/>
        <w:b/>
        <w:bCs/>
        <w:i/>
        <w:sz w:val="16"/>
      </w:rPr>
    </w:pPr>
    <w:r w:rsidRPr="007B65D1">
      <w:rPr>
        <w:rFonts w:ascii="Times New Roman" w:hAnsi="Times New Roman" w:cs="Times New Roman"/>
        <w:b/>
        <w:bCs/>
        <w:i/>
        <w:sz w:val="16"/>
      </w:rPr>
      <w:t>Cite as:</w:t>
    </w:r>
    <w:r w:rsidR="00BD4554">
      <w:rPr>
        <w:rFonts w:ascii="Times New Roman" w:hAnsi="Times New Roman" w:cs="Times New Roman"/>
        <w:b/>
        <w:bCs/>
        <w:i/>
        <w:sz w:val="16"/>
      </w:rPr>
      <w:t xml:space="preserve"> </w:t>
    </w:r>
    <w:r w:rsidR="00BD4554" w:rsidRPr="00BD4554">
      <w:rPr>
        <w:rFonts w:ascii="Times New Roman" w:hAnsi="Times New Roman" w:cs="Times New Roman"/>
        <w:i/>
        <w:sz w:val="16"/>
      </w:rPr>
      <w:t>Jaiswal, H., &amp; Khushboo. (2026). Honey Bees (Apis Spp.): Biology, Pollination Services, Colony Health, Threats and Conservation in Indian Agroecosystems- A Narrative Review. Asian Journal of Research in Zoology, 9(4), 223–234. https://doi.org/10.9734/ajriz/2026/v9i4326</w:t>
    </w:r>
  </w:p>
  <w:p w14:paraId="2BFFEF0E" w14:textId="77777777" w:rsidR="00AE0EB4" w:rsidRPr="007B65D1" w:rsidRDefault="00AE0EB4" w:rsidP="00AE0EB4">
    <w:pPr>
      <w:pStyle w:val="Footer"/>
      <w:jc w:val="both"/>
      <w:rPr>
        <w:rFonts w:ascii="Times New Roman" w:hAnsi="Times New Roman" w:cs="Times New Roman"/>
        <w:i/>
        <w:sz w:val="16"/>
      </w:rPr>
    </w:pPr>
  </w:p>
  <w:p w14:paraId="6449E343" w14:textId="77777777" w:rsidR="00CD3A89" w:rsidRPr="007B65D1" w:rsidRDefault="00CD3A89">
    <w:pPr>
      <w:pStyle w:val="Footer"/>
      <w:rPr>
        <w:rFonts w:ascii="Times New Roman" w:hAnsi="Times New Roman" w:cs="Times New Roman"/>
        <w:sz w:val="20"/>
      </w:rPr>
    </w:pPr>
  </w:p>
  <w:p w14:paraId="01A079FB" w14:textId="77777777" w:rsidR="00490A64" w:rsidRPr="007B65D1" w:rsidRDefault="00490A64">
    <w:pPr>
      <w:pStyle w:val="Footer"/>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4A117" w14:textId="77777777" w:rsidR="00FF6BA5" w:rsidRDefault="00FF6BA5" w:rsidP="00CD3A89">
      <w:pPr>
        <w:spacing w:after="0" w:line="240" w:lineRule="auto"/>
      </w:pPr>
      <w:r>
        <w:separator/>
      </w:r>
    </w:p>
  </w:footnote>
  <w:footnote w:type="continuationSeparator" w:id="0">
    <w:p w14:paraId="4C958D01" w14:textId="77777777" w:rsidR="00FF6BA5" w:rsidRDefault="00FF6BA5" w:rsidP="00CD3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540F3" w14:textId="49B2C19E" w:rsidR="00171FBC" w:rsidRPr="007B65D1" w:rsidRDefault="00171FBC" w:rsidP="00171FBC">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0C998BEA" w14:textId="77777777" w:rsidR="00171FBC" w:rsidRPr="007B65D1" w:rsidRDefault="00171FBC" w:rsidP="00171FBC">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7999371E" w14:textId="77777777" w:rsidR="00171FBC" w:rsidRPr="007B65D1" w:rsidRDefault="00171FBC" w:rsidP="00171FBC">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05E47310" w14:textId="77777777" w:rsidR="00171FBC" w:rsidRPr="007B65D1" w:rsidRDefault="00171FBC" w:rsidP="00171FBC">
    <w:pPr>
      <w:tabs>
        <w:tab w:val="center" w:pos="4320"/>
        <w:tab w:val="right" w:pos="8640"/>
      </w:tabs>
      <w:spacing w:after="0" w:line="240" w:lineRule="auto"/>
      <w:jc w:val="right"/>
      <w:rPr>
        <w:rFonts w:ascii="Times New Roman" w:eastAsia="Times New Roman" w:hAnsi="Times New Roman" w:cs="Times New Roman"/>
        <w:i/>
        <w:sz w:val="16"/>
        <w:szCs w:val="20"/>
        <w:highlight w:val="yellow"/>
      </w:rPr>
    </w:pPr>
  </w:p>
  <w:p w14:paraId="281ED55A" w14:textId="5FE53F42" w:rsidR="00171FBC" w:rsidRPr="00EC6CD3" w:rsidRDefault="00EC6CD3" w:rsidP="00171FBC">
    <w:pPr>
      <w:tabs>
        <w:tab w:val="center" w:pos="4320"/>
        <w:tab w:val="right" w:pos="8640"/>
      </w:tabs>
      <w:spacing w:after="0" w:line="240" w:lineRule="auto"/>
      <w:jc w:val="right"/>
      <w:rPr>
        <w:rFonts w:ascii="Times New Roman" w:eastAsia="Times New Roman" w:hAnsi="Times New Roman" w:cs="Times New Roman"/>
        <w:i/>
        <w:sz w:val="16"/>
        <w:szCs w:val="20"/>
      </w:rPr>
    </w:pPr>
    <w:r w:rsidRPr="00EC6CD3">
      <w:rPr>
        <w:rFonts w:ascii="Times New Roman" w:eastAsia="Times New Roman" w:hAnsi="Times New Roman" w:cs="Times New Roman"/>
        <w:i/>
        <w:sz w:val="16"/>
        <w:szCs w:val="20"/>
        <w:lang w:val="en"/>
      </w:rPr>
      <w:t>Jaiswal and Khushboo</w:t>
    </w:r>
    <w:r w:rsidR="00974577" w:rsidRPr="00EC6CD3">
      <w:rPr>
        <w:rFonts w:ascii="Times New Roman" w:eastAsia="Times New Roman" w:hAnsi="Times New Roman" w:cs="Times New Roman"/>
        <w:i/>
        <w:sz w:val="16"/>
        <w:szCs w:val="20"/>
      </w:rPr>
      <w:t xml:space="preserve">; </w:t>
    </w:r>
    <w:r w:rsidR="00345B25" w:rsidRPr="00EC6CD3">
      <w:rPr>
        <w:rFonts w:ascii="Times New Roman" w:eastAsia="Times New Roman" w:hAnsi="Times New Roman" w:cs="Times New Roman"/>
        <w:i/>
        <w:sz w:val="16"/>
        <w:szCs w:val="20"/>
      </w:rPr>
      <w:t xml:space="preserve">Asian J. Res. Zool., vol. </w:t>
    </w:r>
    <w:r w:rsidR="00FF45EE">
      <w:rPr>
        <w:rFonts w:ascii="Times New Roman" w:eastAsia="Times New Roman" w:hAnsi="Times New Roman" w:cs="Times New Roman"/>
        <w:i/>
        <w:sz w:val="16"/>
        <w:szCs w:val="20"/>
      </w:rPr>
      <w:t>9</w:t>
    </w:r>
    <w:r w:rsidR="00345B25" w:rsidRPr="00EC6CD3">
      <w:rPr>
        <w:rFonts w:ascii="Times New Roman" w:eastAsia="Times New Roman" w:hAnsi="Times New Roman" w:cs="Times New Roman"/>
        <w:i/>
        <w:sz w:val="16"/>
        <w:szCs w:val="20"/>
      </w:rPr>
      <w:t xml:space="preserve">, no. </w:t>
    </w:r>
    <w:r w:rsidR="00FF45EE">
      <w:rPr>
        <w:rFonts w:ascii="Times New Roman" w:eastAsia="Times New Roman" w:hAnsi="Times New Roman" w:cs="Times New Roman"/>
        <w:i/>
        <w:sz w:val="16"/>
        <w:szCs w:val="20"/>
      </w:rPr>
      <w:t>4</w:t>
    </w:r>
    <w:r w:rsidR="00345B25" w:rsidRPr="00EC6CD3">
      <w:rPr>
        <w:rFonts w:ascii="Times New Roman" w:eastAsia="Times New Roman" w:hAnsi="Times New Roman" w:cs="Times New Roman"/>
        <w:i/>
        <w:sz w:val="16"/>
        <w:szCs w:val="20"/>
      </w:rPr>
      <w:t xml:space="preserve">, pp. </w:t>
    </w:r>
    <w:r w:rsidR="00FF45EE" w:rsidRPr="00FF45EE">
      <w:rPr>
        <w:rFonts w:ascii="Times New Roman" w:eastAsia="Times New Roman" w:hAnsi="Times New Roman" w:cs="Times New Roman"/>
        <w:i/>
        <w:sz w:val="16"/>
        <w:szCs w:val="20"/>
      </w:rPr>
      <w:t>223-234, 2026</w:t>
    </w:r>
    <w:r w:rsidR="00D851AD" w:rsidRPr="00EC6CD3">
      <w:rPr>
        <w:rFonts w:ascii="Times New Roman" w:eastAsia="Times New Roman" w:hAnsi="Times New Roman" w:cs="Times New Roman"/>
        <w:i/>
        <w:sz w:val="16"/>
        <w:szCs w:val="20"/>
      </w:rPr>
      <w:t xml:space="preserve">; Article </w:t>
    </w:r>
    <w:proofErr w:type="gramStart"/>
    <w:r w:rsidR="00D851AD" w:rsidRPr="00EC6CD3">
      <w:rPr>
        <w:rFonts w:ascii="Times New Roman" w:eastAsia="Times New Roman" w:hAnsi="Times New Roman" w:cs="Times New Roman"/>
        <w:i/>
        <w:sz w:val="16"/>
        <w:szCs w:val="20"/>
      </w:rPr>
      <w:t>no.</w:t>
    </w:r>
    <w:r w:rsidR="00FF5AC2" w:rsidRPr="00EC6CD3">
      <w:rPr>
        <w:rFonts w:ascii="Times New Roman" w:eastAsia="Times New Roman" w:hAnsi="Times New Roman" w:cs="Times New Roman"/>
        <w:i/>
        <w:sz w:val="16"/>
        <w:szCs w:val="20"/>
      </w:rPr>
      <w:t>AJRIZ</w:t>
    </w:r>
    <w:proofErr w:type="gramEnd"/>
    <w:r>
      <w:rPr>
        <w:rFonts w:ascii="Times New Roman" w:eastAsia="Times New Roman" w:hAnsi="Times New Roman" w:cs="Times New Roman"/>
        <w:i/>
        <w:sz w:val="16"/>
        <w:szCs w:val="20"/>
      </w:rPr>
      <w:t>.</w:t>
    </w:r>
    <w:r w:rsidRPr="00EC6CD3">
      <w:rPr>
        <w:rFonts w:ascii="Times New Roman" w:eastAsia="Times New Roman" w:hAnsi="Times New Roman" w:cs="Times New Roman"/>
        <w:bCs/>
        <w:i/>
        <w:sz w:val="16"/>
        <w:szCs w:val="20"/>
      </w:rPr>
      <w:t>166665</w:t>
    </w:r>
  </w:p>
  <w:p w14:paraId="41EB9B70" w14:textId="77777777" w:rsidR="00974577" w:rsidRPr="007B65D1" w:rsidRDefault="00974577" w:rsidP="00171FBC">
    <w:pPr>
      <w:tabs>
        <w:tab w:val="center" w:pos="4320"/>
        <w:tab w:val="right" w:pos="8640"/>
      </w:tabs>
      <w:spacing w:after="0" w:line="240" w:lineRule="auto"/>
      <w:jc w:val="right"/>
      <w:rPr>
        <w:rFonts w:ascii="Times New Roman" w:eastAsia="Times New Roman" w:hAnsi="Times New Roman" w:cs="Times New Roman"/>
        <w:i/>
        <w:sz w:val="16"/>
        <w:szCs w:val="20"/>
      </w:rPr>
    </w:pPr>
  </w:p>
  <w:p w14:paraId="06B6E4F1" w14:textId="77777777" w:rsidR="00171FBC" w:rsidRPr="007B65D1" w:rsidRDefault="00171FBC" w:rsidP="00171FBC">
    <w:pPr>
      <w:tabs>
        <w:tab w:val="center" w:pos="4320"/>
        <w:tab w:val="right" w:pos="8640"/>
      </w:tabs>
      <w:spacing w:after="0" w:line="240" w:lineRule="auto"/>
      <w:jc w:val="right"/>
      <w:rPr>
        <w:rFonts w:ascii="Times New Roman" w:hAnsi="Times New Roman" w:cs="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17F"/>
    <w:multiLevelType w:val="hybridMultilevel"/>
    <w:tmpl w:val="B7828D00"/>
    <w:lvl w:ilvl="0" w:tplc="A952550E">
      <w:start w:val="1"/>
      <w:numFmt w:val="decimal"/>
      <w:lvlText w:val="%1."/>
      <w:lvlJc w:val="left"/>
      <w:pPr>
        <w:ind w:left="528" w:hanging="240"/>
      </w:pPr>
      <w:rPr>
        <w:rFonts w:ascii="Arial MT" w:eastAsia="Arial MT" w:hAnsi="Arial MT" w:cs="Arial MT" w:hint="default"/>
        <w:b w:val="0"/>
        <w:bCs w:val="0"/>
        <w:i w:val="0"/>
        <w:iCs w:val="0"/>
        <w:spacing w:val="-2"/>
        <w:w w:val="78"/>
        <w:sz w:val="25"/>
        <w:szCs w:val="25"/>
        <w:lang w:val="en-US" w:eastAsia="en-US" w:bidi="ar-SA"/>
      </w:rPr>
    </w:lvl>
    <w:lvl w:ilvl="1" w:tplc="679E7E88">
      <w:numFmt w:val="bullet"/>
      <w:lvlText w:val="•"/>
      <w:lvlJc w:val="left"/>
      <w:pPr>
        <w:ind w:left="1548" w:hanging="240"/>
      </w:pPr>
      <w:rPr>
        <w:rFonts w:hint="default"/>
        <w:lang w:val="en-US" w:eastAsia="en-US" w:bidi="ar-SA"/>
      </w:rPr>
    </w:lvl>
    <w:lvl w:ilvl="2" w:tplc="B18CEB82">
      <w:numFmt w:val="bullet"/>
      <w:lvlText w:val="•"/>
      <w:lvlJc w:val="left"/>
      <w:pPr>
        <w:ind w:left="2576" w:hanging="240"/>
      </w:pPr>
      <w:rPr>
        <w:rFonts w:hint="default"/>
        <w:lang w:val="en-US" w:eastAsia="en-US" w:bidi="ar-SA"/>
      </w:rPr>
    </w:lvl>
    <w:lvl w:ilvl="3" w:tplc="9F8A0F8E">
      <w:numFmt w:val="bullet"/>
      <w:lvlText w:val="•"/>
      <w:lvlJc w:val="left"/>
      <w:pPr>
        <w:ind w:left="3604" w:hanging="240"/>
      </w:pPr>
      <w:rPr>
        <w:rFonts w:hint="default"/>
        <w:lang w:val="en-US" w:eastAsia="en-US" w:bidi="ar-SA"/>
      </w:rPr>
    </w:lvl>
    <w:lvl w:ilvl="4" w:tplc="40F20DC8">
      <w:numFmt w:val="bullet"/>
      <w:lvlText w:val="•"/>
      <w:lvlJc w:val="left"/>
      <w:pPr>
        <w:ind w:left="4632" w:hanging="240"/>
      </w:pPr>
      <w:rPr>
        <w:rFonts w:hint="default"/>
        <w:lang w:val="en-US" w:eastAsia="en-US" w:bidi="ar-SA"/>
      </w:rPr>
    </w:lvl>
    <w:lvl w:ilvl="5" w:tplc="1DBC13D0">
      <w:numFmt w:val="bullet"/>
      <w:lvlText w:val="•"/>
      <w:lvlJc w:val="left"/>
      <w:pPr>
        <w:ind w:left="5660" w:hanging="240"/>
      </w:pPr>
      <w:rPr>
        <w:rFonts w:hint="default"/>
        <w:lang w:val="en-US" w:eastAsia="en-US" w:bidi="ar-SA"/>
      </w:rPr>
    </w:lvl>
    <w:lvl w:ilvl="6" w:tplc="7C9A98D6">
      <w:numFmt w:val="bullet"/>
      <w:lvlText w:val="•"/>
      <w:lvlJc w:val="left"/>
      <w:pPr>
        <w:ind w:left="6688" w:hanging="240"/>
      </w:pPr>
      <w:rPr>
        <w:rFonts w:hint="default"/>
        <w:lang w:val="en-US" w:eastAsia="en-US" w:bidi="ar-SA"/>
      </w:rPr>
    </w:lvl>
    <w:lvl w:ilvl="7" w:tplc="E4FC44D6">
      <w:numFmt w:val="bullet"/>
      <w:lvlText w:val="•"/>
      <w:lvlJc w:val="left"/>
      <w:pPr>
        <w:ind w:left="7716" w:hanging="240"/>
      </w:pPr>
      <w:rPr>
        <w:rFonts w:hint="default"/>
        <w:lang w:val="en-US" w:eastAsia="en-US" w:bidi="ar-SA"/>
      </w:rPr>
    </w:lvl>
    <w:lvl w:ilvl="8" w:tplc="27AC41DE">
      <w:numFmt w:val="bullet"/>
      <w:lvlText w:val="•"/>
      <w:lvlJc w:val="left"/>
      <w:pPr>
        <w:ind w:left="8744" w:hanging="240"/>
      </w:pPr>
      <w:rPr>
        <w:rFonts w:hint="default"/>
        <w:lang w:val="en-US" w:eastAsia="en-US" w:bidi="ar-SA"/>
      </w:rPr>
    </w:lvl>
  </w:abstractNum>
  <w:abstractNum w:abstractNumId="1" w15:restartNumberingAfterBreak="0">
    <w:nsid w:val="098E3DE5"/>
    <w:multiLevelType w:val="hybridMultilevel"/>
    <w:tmpl w:val="772A0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A788B"/>
    <w:multiLevelType w:val="hybridMultilevel"/>
    <w:tmpl w:val="8F78668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193664E"/>
    <w:multiLevelType w:val="hybridMultilevel"/>
    <w:tmpl w:val="0A524DAE"/>
    <w:lvl w:ilvl="0" w:tplc="7BCA6CEC">
      <w:start w:val="24"/>
      <w:numFmt w:val="decimal"/>
      <w:lvlText w:val="%1."/>
      <w:lvlJc w:val="left"/>
      <w:pPr>
        <w:ind w:left="648" w:hanging="360"/>
      </w:pPr>
      <w:rPr>
        <w:rFonts w:ascii="Arial MT" w:eastAsia="Arial MT" w:hAnsi="Arial MT" w:cs="Arial MT" w:hint="default"/>
        <w:b w:val="0"/>
        <w:bCs w:val="0"/>
        <w:i w:val="0"/>
        <w:iCs w:val="0"/>
        <w:spacing w:val="-16"/>
        <w:w w:val="78"/>
        <w:sz w:val="25"/>
        <w:szCs w:val="25"/>
        <w:lang w:val="en-US" w:eastAsia="en-US" w:bidi="ar-SA"/>
      </w:rPr>
    </w:lvl>
    <w:lvl w:ilvl="1" w:tplc="37122AB4">
      <w:start w:val="1"/>
      <w:numFmt w:val="decimal"/>
      <w:lvlText w:val="%2."/>
      <w:lvlJc w:val="left"/>
      <w:pPr>
        <w:ind w:left="1068"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tplc="B1B603E4">
      <w:numFmt w:val="bullet"/>
      <w:lvlText w:val="•"/>
      <w:lvlJc w:val="left"/>
      <w:pPr>
        <w:ind w:left="2142" w:hanging="420"/>
      </w:pPr>
      <w:rPr>
        <w:rFonts w:hint="default"/>
        <w:lang w:val="en-US" w:eastAsia="en-US" w:bidi="ar-SA"/>
      </w:rPr>
    </w:lvl>
    <w:lvl w:ilvl="3" w:tplc="9D3E006E">
      <w:numFmt w:val="bullet"/>
      <w:lvlText w:val="•"/>
      <w:lvlJc w:val="left"/>
      <w:pPr>
        <w:ind w:left="3224" w:hanging="420"/>
      </w:pPr>
      <w:rPr>
        <w:rFonts w:hint="default"/>
        <w:lang w:val="en-US" w:eastAsia="en-US" w:bidi="ar-SA"/>
      </w:rPr>
    </w:lvl>
    <w:lvl w:ilvl="4" w:tplc="C24C56F8">
      <w:numFmt w:val="bullet"/>
      <w:lvlText w:val="•"/>
      <w:lvlJc w:val="left"/>
      <w:pPr>
        <w:ind w:left="4306" w:hanging="420"/>
      </w:pPr>
      <w:rPr>
        <w:rFonts w:hint="default"/>
        <w:lang w:val="en-US" w:eastAsia="en-US" w:bidi="ar-SA"/>
      </w:rPr>
    </w:lvl>
    <w:lvl w:ilvl="5" w:tplc="C3228E80">
      <w:numFmt w:val="bullet"/>
      <w:lvlText w:val="•"/>
      <w:lvlJc w:val="left"/>
      <w:pPr>
        <w:ind w:left="5388" w:hanging="420"/>
      </w:pPr>
      <w:rPr>
        <w:rFonts w:hint="default"/>
        <w:lang w:val="en-US" w:eastAsia="en-US" w:bidi="ar-SA"/>
      </w:rPr>
    </w:lvl>
    <w:lvl w:ilvl="6" w:tplc="6D34CDE8">
      <w:numFmt w:val="bullet"/>
      <w:lvlText w:val="•"/>
      <w:lvlJc w:val="left"/>
      <w:pPr>
        <w:ind w:left="6471" w:hanging="420"/>
      </w:pPr>
      <w:rPr>
        <w:rFonts w:hint="default"/>
        <w:lang w:val="en-US" w:eastAsia="en-US" w:bidi="ar-SA"/>
      </w:rPr>
    </w:lvl>
    <w:lvl w:ilvl="7" w:tplc="D89EB936">
      <w:numFmt w:val="bullet"/>
      <w:lvlText w:val="•"/>
      <w:lvlJc w:val="left"/>
      <w:pPr>
        <w:ind w:left="7553" w:hanging="420"/>
      </w:pPr>
      <w:rPr>
        <w:rFonts w:hint="default"/>
        <w:lang w:val="en-US" w:eastAsia="en-US" w:bidi="ar-SA"/>
      </w:rPr>
    </w:lvl>
    <w:lvl w:ilvl="8" w:tplc="E70400F6">
      <w:numFmt w:val="bullet"/>
      <w:lvlText w:val="•"/>
      <w:lvlJc w:val="left"/>
      <w:pPr>
        <w:ind w:left="8635" w:hanging="420"/>
      </w:pPr>
      <w:rPr>
        <w:rFonts w:hint="default"/>
        <w:lang w:val="en-US" w:eastAsia="en-US" w:bidi="ar-SA"/>
      </w:rPr>
    </w:lvl>
  </w:abstractNum>
  <w:abstractNum w:abstractNumId="4" w15:restartNumberingAfterBreak="0">
    <w:nsid w:val="1CFE6159"/>
    <w:multiLevelType w:val="multilevel"/>
    <w:tmpl w:val="9EA0F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0022A1"/>
    <w:multiLevelType w:val="multilevel"/>
    <w:tmpl w:val="72CC75A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4B2E2E"/>
    <w:multiLevelType w:val="multilevel"/>
    <w:tmpl w:val="CB20019C"/>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470583"/>
    <w:multiLevelType w:val="hybridMultilevel"/>
    <w:tmpl w:val="22104628"/>
    <w:lvl w:ilvl="0" w:tplc="FA60BCC2">
      <w:start w:val="1"/>
      <w:numFmt w:val="decimal"/>
      <w:lvlText w:val="%1."/>
      <w:lvlJc w:val="left"/>
      <w:pPr>
        <w:ind w:left="288"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FDA66B34">
      <w:numFmt w:val="bullet"/>
      <w:lvlText w:val="•"/>
      <w:lvlJc w:val="left"/>
      <w:pPr>
        <w:ind w:left="1332" w:hanging="240"/>
      </w:pPr>
      <w:rPr>
        <w:rFonts w:hint="default"/>
        <w:lang w:val="en-US" w:eastAsia="en-US" w:bidi="ar-SA"/>
      </w:rPr>
    </w:lvl>
    <w:lvl w:ilvl="2" w:tplc="41F250AA">
      <w:numFmt w:val="bullet"/>
      <w:lvlText w:val="•"/>
      <w:lvlJc w:val="left"/>
      <w:pPr>
        <w:ind w:left="2384" w:hanging="240"/>
      </w:pPr>
      <w:rPr>
        <w:rFonts w:hint="default"/>
        <w:lang w:val="en-US" w:eastAsia="en-US" w:bidi="ar-SA"/>
      </w:rPr>
    </w:lvl>
    <w:lvl w:ilvl="3" w:tplc="22928FA8">
      <w:numFmt w:val="bullet"/>
      <w:lvlText w:val="•"/>
      <w:lvlJc w:val="left"/>
      <w:pPr>
        <w:ind w:left="3436" w:hanging="240"/>
      </w:pPr>
      <w:rPr>
        <w:rFonts w:hint="default"/>
        <w:lang w:val="en-US" w:eastAsia="en-US" w:bidi="ar-SA"/>
      </w:rPr>
    </w:lvl>
    <w:lvl w:ilvl="4" w:tplc="B4247CA2">
      <w:numFmt w:val="bullet"/>
      <w:lvlText w:val="•"/>
      <w:lvlJc w:val="left"/>
      <w:pPr>
        <w:ind w:left="4488" w:hanging="240"/>
      </w:pPr>
      <w:rPr>
        <w:rFonts w:hint="default"/>
        <w:lang w:val="en-US" w:eastAsia="en-US" w:bidi="ar-SA"/>
      </w:rPr>
    </w:lvl>
    <w:lvl w:ilvl="5" w:tplc="CD26E116">
      <w:numFmt w:val="bullet"/>
      <w:lvlText w:val="•"/>
      <w:lvlJc w:val="left"/>
      <w:pPr>
        <w:ind w:left="5540" w:hanging="240"/>
      </w:pPr>
      <w:rPr>
        <w:rFonts w:hint="default"/>
        <w:lang w:val="en-US" w:eastAsia="en-US" w:bidi="ar-SA"/>
      </w:rPr>
    </w:lvl>
    <w:lvl w:ilvl="6" w:tplc="A03A7262">
      <w:numFmt w:val="bullet"/>
      <w:lvlText w:val="•"/>
      <w:lvlJc w:val="left"/>
      <w:pPr>
        <w:ind w:left="6592" w:hanging="240"/>
      </w:pPr>
      <w:rPr>
        <w:rFonts w:hint="default"/>
        <w:lang w:val="en-US" w:eastAsia="en-US" w:bidi="ar-SA"/>
      </w:rPr>
    </w:lvl>
    <w:lvl w:ilvl="7" w:tplc="BB38F1CE">
      <w:numFmt w:val="bullet"/>
      <w:lvlText w:val="•"/>
      <w:lvlJc w:val="left"/>
      <w:pPr>
        <w:ind w:left="7644" w:hanging="240"/>
      </w:pPr>
      <w:rPr>
        <w:rFonts w:hint="default"/>
        <w:lang w:val="en-US" w:eastAsia="en-US" w:bidi="ar-SA"/>
      </w:rPr>
    </w:lvl>
    <w:lvl w:ilvl="8" w:tplc="27A0825A">
      <w:numFmt w:val="bullet"/>
      <w:lvlText w:val="•"/>
      <w:lvlJc w:val="left"/>
      <w:pPr>
        <w:ind w:left="8696" w:hanging="240"/>
      </w:pPr>
      <w:rPr>
        <w:rFonts w:hint="default"/>
        <w:lang w:val="en-US" w:eastAsia="en-US" w:bidi="ar-SA"/>
      </w:rPr>
    </w:lvl>
  </w:abstractNum>
  <w:abstractNum w:abstractNumId="8" w15:restartNumberingAfterBreak="0">
    <w:nsid w:val="4C4660CE"/>
    <w:multiLevelType w:val="hybridMultilevel"/>
    <w:tmpl w:val="25BAB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8E5396"/>
    <w:multiLevelType w:val="hybridMultilevel"/>
    <w:tmpl w:val="F0D26598"/>
    <w:lvl w:ilvl="0" w:tplc="DBBE9F46">
      <w:start w:val="1"/>
      <w:numFmt w:val="decimal"/>
      <w:lvlText w:val="%1."/>
      <w:lvlJc w:val="left"/>
      <w:pPr>
        <w:ind w:left="288" w:hanging="285"/>
      </w:pPr>
      <w:rPr>
        <w:rFonts w:ascii="Times New Roman" w:eastAsia="Times New Roman" w:hAnsi="Times New Roman" w:cs="Times New Roman" w:hint="default"/>
        <w:b w:val="0"/>
        <w:bCs w:val="0"/>
        <w:i w:val="0"/>
        <w:iCs w:val="0"/>
        <w:spacing w:val="0"/>
        <w:w w:val="100"/>
        <w:sz w:val="24"/>
        <w:szCs w:val="24"/>
        <w:lang w:val="en-US" w:eastAsia="en-US" w:bidi="ar-SA"/>
      </w:rPr>
    </w:lvl>
    <w:lvl w:ilvl="1" w:tplc="AF5868EC">
      <w:numFmt w:val="bullet"/>
      <w:lvlText w:val="•"/>
      <w:lvlJc w:val="left"/>
      <w:pPr>
        <w:ind w:left="1332" w:hanging="285"/>
      </w:pPr>
      <w:rPr>
        <w:rFonts w:hint="default"/>
        <w:lang w:val="en-US" w:eastAsia="en-US" w:bidi="ar-SA"/>
      </w:rPr>
    </w:lvl>
    <w:lvl w:ilvl="2" w:tplc="8E5E30F8">
      <w:numFmt w:val="bullet"/>
      <w:lvlText w:val="•"/>
      <w:lvlJc w:val="left"/>
      <w:pPr>
        <w:ind w:left="2384" w:hanging="285"/>
      </w:pPr>
      <w:rPr>
        <w:rFonts w:hint="default"/>
        <w:lang w:val="en-US" w:eastAsia="en-US" w:bidi="ar-SA"/>
      </w:rPr>
    </w:lvl>
    <w:lvl w:ilvl="3" w:tplc="11BCACE8">
      <w:numFmt w:val="bullet"/>
      <w:lvlText w:val="•"/>
      <w:lvlJc w:val="left"/>
      <w:pPr>
        <w:ind w:left="3436" w:hanging="285"/>
      </w:pPr>
      <w:rPr>
        <w:rFonts w:hint="default"/>
        <w:lang w:val="en-US" w:eastAsia="en-US" w:bidi="ar-SA"/>
      </w:rPr>
    </w:lvl>
    <w:lvl w:ilvl="4" w:tplc="C8CCAD8C">
      <w:numFmt w:val="bullet"/>
      <w:lvlText w:val="•"/>
      <w:lvlJc w:val="left"/>
      <w:pPr>
        <w:ind w:left="4488" w:hanging="285"/>
      </w:pPr>
      <w:rPr>
        <w:rFonts w:hint="default"/>
        <w:lang w:val="en-US" w:eastAsia="en-US" w:bidi="ar-SA"/>
      </w:rPr>
    </w:lvl>
    <w:lvl w:ilvl="5" w:tplc="537C424A">
      <w:numFmt w:val="bullet"/>
      <w:lvlText w:val="•"/>
      <w:lvlJc w:val="left"/>
      <w:pPr>
        <w:ind w:left="5540" w:hanging="285"/>
      </w:pPr>
      <w:rPr>
        <w:rFonts w:hint="default"/>
        <w:lang w:val="en-US" w:eastAsia="en-US" w:bidi="ar-SA"/>
      </w:rPr>
    </w:lvl>
    <w:lvl w:ilvl="6" w:tplc="6AE43CB2">
      <w:numFmt w:val="bullet"/>
      <w:lvlText w:val="•"/>
      <w:lvlJc w:val="left"/>
      <w:pPr>
        <w:ind w:left="6592" w:hanging="285"/>
      </w:pPr>
      <w:rPr>
        <w:rFonts w:hint="default"/>
        <w:lang w:val="en-US" w:eastAsia="en-US" w:bidi="ar-SA"/>
      </w:rPr>
    </w:lvl>
    <w:lvl w:ilvl="7" w:tplc="E216F418">
      <w:numFmt w:val="bullet"/>
      <w:lvlText w:val="•"/>
      <w:lvlJc w:val="left"/>
      <w:pPr>
        <w:ind w:left="7644" w:hanging="285"/>
      </w:pPr>
      <w:rPr>
        <w:rFonts w:hint="default"/>
        <w:lang w:val="en-US" w:eastAsia="en-US" w:bidi="ar-SA"/>
      </w:rPr>
    </w:lvl>
    <w:lvl w:ilvl="8" w:tplc="C4E643E8">
      <w:numFmt w:val="bullet"/>
      <w:lvlText w:val="•"/>
      <w:lvlJc w:val="left"/>
      <w:pPr>
        <w:ind w:left="8696" w:hanging="285"/>
      </w:pPr>
      <w:rPr>
        <w:rFonts w:hint="default"/>
        <w:lang w:val="en-US" w:eastAsia="en-US" w:bidi="ar-SA"/>
      </w:rPr>
    </w:lvl>
  </w:abstractNum>
  <w:abstractNum w:abstractNumId="10" w15:restartNumberingAfterBreak="0">
    <w:nsid w:val="5E1B76CB"/>
    <w:multiLevelType w:val="hybridMultilevel"/>
    <w:tmpl w:val="1B945FA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464933"/>
    <w:multiLevelType w:val="hybridMultilevel"/>
    <w:tmpl w:val="ECFE7AA4"/>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2465BC3"/>
    <w:multiLevelType w:val="hybridMultilevel"/>
    <w:tmpl w:val="33769F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CE49BE"/>
    <w:multiLevelType w:val="multilevel"/>
    <w:tmpl w:val="94A2B3A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4D5085"/>
    <w:multiLevelType w:val="hybridMultilevel"/>
    <w:tmpl w:val="8230C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3907491">
    <w:abstractNumId w:val="14"/>
  </w:num>
  <w:num w:numId="2" w16cid:durableId="2076590438">
    <w:abstractNumId w:val="3"/>
  </w:num>
  <w:num w:numId="3" w16cid:durableId="1695308418">
    <w:abstractNumId w:val="7"/>
  </w:num>
  <w:num w:numId="4" w16cid:durableId="1433042897">
    <w:abstractNumId w:val="9"/>
  </w:num>
  <w:num w:numId="5" w16cid:durableId="893812243">
    <w:abstractNumId w:val="0"/>
  </w:num>
  <w:num w:numId="6" w16cid:durableId="864027493">
    <w:abstractNumId w:val="4"/>
  </w:num>
  <w:num w:numId="7" w16cid:durableId="599725487">
    <w:abstractNumId w:val="13"/>
  </w:num>
  <w:num w:numId="8" w16cid:durableId="61342390">
    <w:abstractNumId w:val="5"/>
  </w:num>
  <w:num w:numId="9" w16cid:durableId="2060083132">
    <w:abstractNumId w:val="6"/>
  </w:num>
  <w:num w:numId="10" w16cid:durableId="1631135199">
    <w:abstractNumId w:val="1"/>
  </w:num>
  <w:num w:numId="11" w16cid:durableId="489828253">
    <w:abstractNumId w:val="8"/>
  </w:num>
  <w:num w:numId="12" w16cid:durableId="1904677415">
    <w:abstractNumId w:val="2"/>
  </w:num>
  <w:num w:numId="13" w16cid:durableId="245699560">
    <w:abstractNumId w:val="10"/>
  </w:num>
  <w:num w:numId="14" w16cid:durableId="1330870642">
    <w:abstractNumId w:val="11"/>
  </w:num>
  <w:num w:numId="15" w16cid:durableId="12073704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88"/>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13266"/>
    <w:rsid w:val="00011ECA"/>
    <w:rsid w:val="0001308F"/>
    <w:rsid w:val="000140EA"/>
    <w:rsid w:val="000221C9"/>
    <w:rsid w:val="000226DD"/>
    <w:rsid w:val="000372DB"/>
    <w:rsid w:val="00041716"/>
    <w:rsid w:val="00047B2D"/>
    <w:rsid w:val="000A2031"/>
    <w:rsid w:val="000C2408"/>
    <w:rsid w:val="001004BF"/>
    <w:rsid w:val="00100B40"/>
    <w:rsid w:val="0010611F"/>
    <w:rsid w:val="00117484"/>
    <w:rsid w:val="00124A37"/>
    <w:rsid w:val="0013012E"/>
    <w:rsid w:val="0014561B"/>
    <w:rsid w:val="001458EB"/>
    <w:rsid w:val="00150CE4"/>
    <w:rsid w:val="00152535"/>
    <w:rsid w:val="001558B5"/>
    <w:rsid w:val="00163526"/>
    <w:rsid w:val="001700B9"/>
    <w:rsid w:val="00171FBC"/>
    <w:rsid w:val="00180820"/>
    <w:rsid w:val="001835C7"/>
    <w:rsid w:val="00190C2D"/>
    <w:rsid w:val="001A4A55"/>
    <w:rsid w:val="001A69A3"/>
    <w:rsid w:val="001B06D0"/>
    <w:rsid w:val="001B111C"/>
    <w:rsid w:val="001C7CE1"/>
    <w:rsid w:val="001D00F5"/>
    <w:rsid w:val="001E594A"/>
    <w:rsid w:val="001F03E2"/>
    <w:rsid w:val="001F0925"/>
    <w:rsid w:val="001F5D59"/>
    <w:rsid w:val="001F780A"/>
    <w:rsid w:val="00205B59"/>
    <w:rsid w:val="00220A21"/>
    <w:rsid w:val="002367E7"/>
    <w:rsid w:val="00250135"/>
    <w:rsid w:val="00250E9B"/>
    <w:rsid w:val="002573C9"/>
    <w:rsid w:val="00260707"/>
    <w:rsid w:val="00263AE4"/>
    <w:rsid w:val="0027650F"/>
    <w:rsid w:val="0028695F"/>
    <w:rsid w:val="00297CC0"/>
    <w:rsid w:val="002A041A"/>
    <w:rsid w:val="002A078A"/>
    <w:rsid w:val="002A635B"/>
    <w:rsid w:val="002B02E7"/>
    <w:rsid w:val="002C7DF4"/>
    <w:rsid w:val="002D51CA"/>
    <w:rsid w:val="002D6E70"/>
    <w:rsid w:val="002F5A1F"/>
    <w:rsid w:val="0031517D"/>
    <w:rsid w:val="00332601"/>
    <w:rsid w:val="003349BB"/>
    <w:rsid w:val="00335947"/>
    <w:rsid w:val="00337CF5"/>
    <w:rsid w:val="00345B25"/>
    <w:rsid w:val="00370C0D"/>
    <w:rsid w:val="00376494"/>
    <w:rsid w:val="00380ACB"/>
    <w:rsid w:val="00387B56"/>
    <w:rsid w:val="003B2B85"/>
    <w:rsid w:val="003B40A0"/>
    <w:rsid w:val="003B4704"/>
    <w:rsid w:val="003D0DD7"/>
    <w:rsid w:val="003F47A0"/>
    <w:rsid w:val="00400222"/>
    <w:rsid w:val="004011BC"/>
    <w:rsid w:val="00405CE0"/>
    <w:rsid w:val="00424421"/>
    <w:rsid w:val="0043035E"/>
    <w:rsid w:val="00454377"/>
    <w:rsid w:val="00455705"/>
    <w:rsid w:val="00455B14"/>
    <w:rsid w:val="004573F9"/>
    <w:rsid w:val="004743E7"/>
    <w:rsid w:val="00485F13"/>
    <w:rsid w:val="0048681C"/>
    <w:rsid w:val="00490A64"/>
    <w:rsid w:val="00491472"/>
    <w:rsid w:val="004B60EC"/>
    <w:rsid w:val="004C4B1A"/>
    <w:rsid w:val="004C5D40"/>
    <w:rsid w:val="004D0466"/>
    <w:rsid w:val="004D6091"/>
    <w:rsid w:val="004E094F"/>
    <w:rsid w:val="004E6536"/>
    <w:rsid w:val="004F2706"/>
    <w:rsid w:val="004F7982"/>
    <w:rsid w:val="00506E11"/>
    <w:rsid w:val="0051528E"/>
    <w:rsid w:val="00522DA5"/>
    <w:rsid w:val="005247F2"/>
    <w:rsid w:val="00535601"/>
    <w:rsid w:val="00536BCB"/>
    <w:rsid w:val="0053773C"/>
    <w:rsid w:val="00551E8E"/>
    <w:rsid w:val="005601D4"/>
    <w:rsid w:val="00562C90"/>
    <w:rsid w:val="005722FD"/>
    <w:rsid w:val="005734C1"/>
    <w:rsid w:val="00581109"/>
    <w:rsid w:val="0058198B"/>
    <w:rsid w:val="005A1751"/>
    <w:rsid w:val="005C26C6"/>
    <w:rsid w:val="005C63EE"/>
    <w:rsid w:val="005D1774"/>
    <w:rsid w:val="005E272D"/>
    <w:rsid w:val="00602B53"/>
    <w:rsid w:val="00604FB0"/>
    <w:rsid w:val="00607363"/>
    <w:rsid w:val="00635265"/>
    <w:rsid w:val="00647361"/>
    <w:rsid w:val="006642C2"/>
    <w:rsid w:val="00682F1A"/>
    <w:rsid w:val="00684F2D"/>
    <w:rsid w:val="006853A4"/>
    <w:rsid w:val="0068719D"/>
    <w:rsid w:val="006A1899"/>
    <w:rsid w:val="006A2F45"/>
    <w:rsid w:val="006A3FCB"/>
    <w:rsid w:val="006C667C"/>
    <w:rsid w:val="006C7C39"/>
    <w:rsid w:val="006D658B"/>
    <w:rsid w:val="00703125"/>
    <w:rsid w:val="0070357C"/>
    <w:rsid w:val="00721737"/>
    <w:rsid w:val="007240A8"/>
    <w:rsid w:val="007323FC"/>
    <w:rsid w:val="00747D62"/>
    <w:rsid w:val="007540CA"/>
    <w:rsid w:val="007622EE"/>
    <w:rsid w:val="007775D5"/>
    <w:rsid w:val="00785993"/>
    <w:rsid w:val="007865F0"/>
    <w:rsid w:val="007879C6"/>
    <w:rsid w:val="007B380F"/>
    <w:rsid w:val="007B63EC"/>
    <w:rsid w:val="007B65D1"/>
    <w:rsid w:val="007C49C7"/>
    <w:rsid w:val="007D11FD"/>
    <w:rsid w:val="007D4A5D"/>
    <w:rsid w:val="007E02F8"/>
    <w:rsid w:val="007E4345"/>
    <w:rsid w:val="007F504C"/>
    <w:rsid w:val="00807ED0"/>
    <w:rsid w:val="00812548"/>
    <w:rsid w:val="00816F63"/>
    <w:rsid w:val="00825F35"/>
    <w:rsid w:val="0083750D"/>
    <w:rsid w:val="00843678"/>
    <w:rsid w:val="00853DC1"/>
    <w:rsid w:val="008643CD"/>
    <w:rsid w:val="00873867"/>
    <w:rsid w:val="00873A5C"/>
    <w:rsid w:val="008776D1"/>
    <w:rsid w:val="00893148"/>
    <w:rsid w:val="008A6210"/>
    <w:rsid w:val="008C3188"/>
    <w:rsid w:val="008C3497"/>
    <w:rsid w:val="008F67E8"/>
    <w:rsid w:val="009208EC"/>
    <w:rsid w:val="0093763A"/>
    <w:rsid w:val="009431AE"/>
    <w:rsid w:val="00945900"/>
    <w:rsid w:val="00951D84"/>
    <w:rsid w:val="00953210"/>
    <w:rsid w:val="00962251"/>
    <w:rsid w:val="00972A8C"/>
    <w:rsid w:val="00974577"/>
    <w:rsid w:val="0098174A"/>
    <w:rsid w:val="00982102"/>
    <w:rsid w:val="00982184"/>
    <w:rsid w:val="00984737"/>
    <w:rsid w:val="0099256A"/>
    <w:rsid w:val="009A18F2"/>
    <w:rsid w:val="009B0B88"/>
    <w:rsid w:val="009C4A76"/>
    <w:rsid w:val="009D4C58"/>
    <w:rsid w:val="009D5065"/>
    <w:rsid w:val="009E1EFB"/>
    <w:rsid w:val="00A0172A"/>
    <w:rsid w:val="00A0275B"/>
    <w:rsid w:val="00A04303"/>
    <w:rsid w:val="00A118A8"/>
    <w:rsid w:val="00A16F08"/>
    <w:rsid w:val="00A21828"/>
    <w:rsid w:val="00A22248"/>
    <w:rsid w:val="00A30A6F"/>
    <w:rsid w:val="00A31A38"/>
    <w:rsid w:val="00A324F0"/>
    <w:rsid w:val="00A35F7A"/>
    <w:rsid w:val="00A5393A"/>
    <w:rsid w:val="00A5640A"/>
    <w:rsid w:val="00A61B2E"/>
    <w:rsid w:val="00A61D8F"/>
    <w:rsid w:val="00A629EA"/>
    <w:rsid w:val="00A6662D"/>
    <w:rsid w:val="00A706F7"/>
    <w:rsid w:val="00A85B18"/>
    <w:rsid w:val="00A90597"/>
    <w:rsid w:val="00A90DA5"/>
    <w:rsid w:val="00A96AB6"/>
    <w:rsid w:val="00AA0D41"/>
    <w:rsid w:val="00AA4CC2"/>
    <w:rsid w:val="00AA6B78"/>
    <w:rsid w:val="00AB7D38"/>
    <w:rsid w:val="00AC3409"/>
    <w:rsid w:val="00AC360A"/>
    <w:rsid w:val="00AD2C4E"/>
    <w:rsid w:val="00AE0EB4"/>
    <w:rsid w:val="00AE1C1D"/>
    <w:rsid w:val="00AE1DA4"/>
    <w:rsid w:val="00AF0DA1"/>
    <w:rsid w:val="00AF47AA"/>
    <w:rsid w:val="00B02A94"/>
    <w:rsid w:val="00B112BC"/>
    <w:rsid w:val="00B112F5"/>
    <w:rsid w:val="00B15404"/>
    <w:rsid w:val="00B414F6"/>
    <w:rsid w:val="00B635EC"/>
    <w:rsid w:val="00B717BD"/>
    <w:rsid w:val="00B75F26"/>
    <w:rsid w:val="00B7605E"/>
    <w:rsid w:val="00B8786D"/>
    <w:rsid w:val="00B950C8"/>
    <w:rsid w:val="00B976CC"/>
    <w:rsid w:val="00BA1088"/>
    <w:rsid w:val="00BB5B87"/>
    <w:rsid w:val="00BC383B"/>
    <w:rsid w:val="00BD060A"/>
    <w:rsid w:val="00BD4554"/>
    <w:rsid w:val="00C11417"/>
    <w:rsid w:val="00C13266"/>
    <w:rsid w:val="00C14909"/>
    <w:rsid w:val="00C17A02"/>
    <w:rsid w:val="00C32323"/>
    <w:rsid w:val="00C333AF"/>
    <w:rsid w:val="00C47C47"/>
    <w:rsid w:val="00C56D42"/>
    <w:rsid w:val="00C64AE6"/>
    <w:rsid w:val="00C70AA3"/>
    <w:rsid w:val="00C81799"/>
    <w:rsid w:val="00C923BA"/>
    <w:rsid w:val="00C972F4"/>
    <w:rsid w:val="00CA5ECE"/>
    <w:rsid w:val="00CB0A4D"/>
    <w:rsid w:val="00CB60C5"/>
    <w:rsid w:val="00CB74C9"/>
    <w:rsid w:val="00CD3A89"/>
    <w:rsid w:val="00CD4AFC"/>
    <w:rsid w:val="00CD5E65"/>
    <w:rsid w:val="00CE349D"/>
    <w:rsid w:val="00CE3E7D"/>
    <w:rsid w:val="00CF63DE"/>
    <w:rsid w:val="00CF722D"/>
    <w:rsid w:val="00D0400F"/>
    <w:rsid w:val="00D20C8C"/>
    <w:rsid w:val="00D210BB"/>
    <w:rsid w:val="00D354FA"/>
    <w:rsid w:val="00D44AFE"/>
    <w:rsid w:val="00D51808"/>
    <w:rsid w:val="00D61E1D"/>
    <w:rsid w:val="00D70E92"/>
    <w:rsid w:val="00D720CF"/>
    <w:rsid w:val="00D72DA1"/>
    <w:rsid w:val="00D76E4A"/>
    <w:rsid w:val="00D851AD"/>
    <w:rsid w:val="00D931D5"/>
    <w:rsid w:val="00DE5E5F"/>
    <w:rsid w:val="00E06C1F"/>
    <w:rsid w:val="00E1183C"/>
    <w:rsid w:val="00E214BA"/>
    <w:rsid w:val="00E2233D"/>
    <w:rsid w:val="00E34067"/>
    <w:rsid w:val="00E3449D"/>
    <w:rsid w:val="00E448E0"/>
    <w:rsid w:val="00E46D35"/>
    <w:rsid w:val="00E50CE0"/>
    <w:rsid w:val="00E51A67"/>
    <w:rsid w:val="00E531CD"/>
    <w:rsid w:val="00E56263"/>
    <w:rsid w:val="00E62480"/>
    <w:rsid w:val="00E63D4E"/>
    <w:rsid w:val="00E702F4"/>
    <w:rsid w:val="00E7093B"/>
    <w:rsid w:val="00E72385"/>
    <w:rsid w:val="00E73D8F"/>
    <w:rsid w:val="00E743C6"/>
    <w:rsid w:val="00E8718E"/>
    <w:rsid w:val="00EA1C5E"/>
    <w:rsid w:val="00EB1005"/>
    <w:rsid w:val="00EB2DA2"/>
    <w:rsid w:val="00EB5422"/>
    <w:rsid w:val="00EB740E"/>
    <w:rsid w:val="00EB7881"/>
    <w:rsid w:val="00EC09B7"/>
    <w:rsid w:val="00EC5323"/>
    <w:rsid w:val="00EC6CD3"/>
    <w:rsid w:val="00ED402E"/>
    <w:rsid w:val="00ED56A4"/>
    <w:rsid w:val="00ED6468"/>
    <w:rsid w:val="00EF3322"/>
    <w:rsid w:val="00F0322C"/>
    <w:rsid w:val="00F07F6D"/>
    <w:rsid w:val="00F23E99"/>
    <w:rsid w:val="00F26EC0"/>
    <w:rsid w:val="00F31DC2"/>
    <w:rsid w:val="00F3767B"/>
    <w:rsid w:val="00F441E4"/>
    <w:rsid w:val="00F55591"/>
    <w:rsid w:val="00F62C79"/>
    <w:rsid w:val="00F6450F"/>
    <w:rsid w:val="00F656D4"/>
    <w:rsid w:val="00F6690C"/>
    <w:rsid w:val="00F73496"/>
    <w:rsid w:val="00F958E7"/>
    <w:rsid w:val="00FA6E5A"/>
    <w:rsid w:val="00FB0669"/>
    <w:rsid w:val="00FB57ED"/>
    <w:rsid w:val="00FE419C"/>
    <w:rsid w:val="00FF45EE"/>
    <w:rsid w:val="00FF5AC2"/>
    <w:rsid w:val="00FF68A3"/>
    <w:rsid w:val="00FF69FE"/>
    <w:rsid w:val="00FF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2"/>
      <o:rules v:ext="edit">
        <o:r id="V:Rule1" type="connector" idref="#AutoShape 31"/>
        <o:r id="V:Rule2" type="connector" idref="#AutoShape 32"/>
      </o:rules>
    </o:shapelayout>
  </w:shapeDefaults>
  <w:decimalSymbol w:val="."/>
  <w:listSeparator w:val=","/>
  <w14:docId w14:val="50DB3FF3"/>
  <w15:docId w15:val="{A3959648-5E48-46AE-8413-BA374DCE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35E"/>
  </w:style>
  <w:style w:type="paragraph" w:styleId="Heading1">
    <w:name w:val="heading 1"/>
    <w:basedOn w:val="Normal"/>
    <w:next w:val="Normal"/>
    <w:link w:val="Heading1Char"/>
    <w:uiPriority w:val="9"/>
    <w:qFormat/>
    <w:rsid w:val="00D0400F"/>
    <w:pPr>
      <w:keepNext/>
      <w:keepLines/>
      <w:spacing w:after="0" w:line="240" w:lineRule="auto"/>
      <w:jc w:val="right"/>
      <w:outlineLvl w:val="0"/>
    </w:pPr>
    <w:rPr>
      <w:rFonts w:ascii="Times New Roman" w:eastAsiaTheme="majorEastAsia" w:hAnsi="Times New Roman" w:cstheme="majorBidi"/>
      <w:b/>
      <w:bCs/>
      <w:sz w:val="48"/>
      <w:szCs w:val="28"/>
    </w:rPr>
  </w:style>
  <w:style w:type="paragraph" w:styleId="Heading2">
    <w:name w:val="heading 2"/>
    <w:basedOn w:val="Normal"/>
    <w:next w:val="Normal"/>
    <w:link w:val="Heading2Char"/>
    <w:uiPriority w:val="9"/>
    <w:unhideWhenUsed/>
    <w:qFormat/>
    <w:rsid w:val="00D0400F"/>
    <w:pPr>
      <w:keepNext/>
      <w:keepLines/>
      <w:spacing w:before="10" w:after="0" w:line="240" w:lineRule="auto"/>
      <w:jc w:val="right"/>
      <w:outlineLvl w:val="1"/>
    </w:pPr>
    <w:rPr>
      <w:rFonts w:ascii="Times New Roman" w:eastAsiaTheme="majorEastAsia" w:hAnsi="Times New Roman" w:cstheme="majorBidi"/>
      <w:b/>
      <w:bCs/>
      <w:sz w:val="32"/>
      <w:szCs w:val="26"/>
    </w:rPr>
  </w:style>
  <w:style w:type="paragraph" w:styleId="Heading3">
    <w:name w:val="heading 3"/>
    <w:basedOn w:val="Normal"/>
    <w:next w:val="Normal"/>
    <w:link w:val="Heading3Char"/>
    <w:uiPriority w:val="9"/>
    <w:unhideWhenUsed/>
    <w:qFormat/>
    <w:rsid w:val="00D0400F"/>
    <w:pPr>
      <w:keepNext/>
      <w:keepLines/>
      <w:spacing w:after="0" w:line="240" w:lineRule="auto"/>
      <w:jc w:val="both"/>
      <w:outlineLvl w:val="2"/>
    </w:pPr>
    <w:rPr>
      <w:rFonts w:ascii="Times New Roman" w:eastAsiaTheme="majorEastAsia" w:hAnsi="Times New Roman" w:cstheme="majorBidi"/>
      <w:b/>
      <w:bCs/>
      <w:sz w:val="19"/>
    </w:rPr>
  </w:style>
  <w:style w:type="paragraph" w:styleId="Heading4">
    <w:name w:val="heading 4"/>
    <w:basedOn w:val="Normal"/>
    <w:next w:val="Normal"/>
    <w:link w:val="Heading4Char"/>
    <w:uiPriority w:val="9"/>
    <w:unhideWhenUsed/>
    <w:qFormat/>
    <w:rsid w:val="00D0400F"/>
    <w:pPr>
      <w:keepNext/>
      <w:keepLines/>
      <w:spacing w:after="0" w:line="240" w:lineRule="auto"/>
      <w:jc w:val="both"/>
      <w:outlineLvl w:val="3"/>
    </w:pPr>
    <w:rPr>
      <w:rFonts w:ascii="Times New Roman" w:eastAsiaTheme="majorEastAsia" w:hAnsi="Times New Roman" w:cstheme="majorBidi"/>
      <w:b/>
      <w:bCs/>
      <w:iCs/>
      <w:sz w:val="19"/>
    </w:rPr>
  </w:style>
  <w:style w:type="paragraph" w:styleId="Heading5">
    <w:name w:val="heading 5"/>
    <w:basedOn w:val="Normal"/>
    <w:next w:val="Normal"/>
    <w:link w:val="Heading5Char"/>
    <w:uiPriority w:val="9"/>
    <w:unhideWhenUsed/>
    <w:qFormat/>
    <w:rsid w:val="00D0400F"/>
    <w:pPr>
      <w:keepNext/>
      <w:keepLines/>
      <w:spacing w:after="0" w:line="240" w:lineRule="auto"/>
      <w:jc w:val="both"/>
      <w:outlineLvl w:val="4"/>
    </w:pPr>
    <w:rPr>
      <w:rFonts w:ascii="Times New Roman" w:eastAsiaTheme="majorEastAsia" w:hAnsi="Times New Roman" w:cstheme="majorBidi"/>
      <w:b/>
      <w:sz w:val="19"/>
    </w:rPr>
  </w:style>
  <w:style w:type="paragraph" w:styleId="Heading6">
    <w:name w:val="heading 6"/>
    <w:basedOn w:val="Normal"/>
    <w:next w:val="Normal"/>
    <w:link w:val="Heading6Char"/>
    <w:uiPriority w:val="9"/>
    <w:unhideWhenUsed/>
    <w:qFormat/>
    <w:rsid w:val="00D0400F"/>
    <w:pPr>
      <w:keepNext/>
      <w:keepLines/>
      <w:spacing w:after="0" w:line="240" w:lineRule="auto"/>
      <w:jc w:val="both"/>
      <w:outlineLvl w:val="5"/>
    </w:pPr>
    <w:rPr>
      <w:rFonts w:ascii="Times New Roman" w:eastAsiaTheme="majorEastAsia" w:hAnsi="Times New Roman" w:cstheme="majorBidi"/>
      <w:b/>
      <w:sz w:val="19"/>
    </w:rPr>
  </w:style>
  <w:style w:type="paragraph" w:styleId="Heading7">
    <w:name w:val="heading 7"/>
    <w:basedOn w:val="Normal"/>
    <w:next w:val="Normal"/>
    <w:link w:val="Heading7Char"/>
    <w:uiPriority w:val="9"/>
    <w:unhideWhenUsed/>
    <w:qFormat/>
    <w:rsid w:val="00D0400F"/>
    <w:pPr>
      <w:keepNext/>
      <w:keepLines/>
      <w:spacing w:after="0" w:line="240" w:lineRule="auto"/>
      <w:ind w:left="2160"/>
      <w:jc w:val="both"/>
      <w:outlineLvl w:val="6"/>
    </w:pPr>
    <w:rPr>
      <w:rFonts w:ascii="Times New Roman" w:eastAsiaTheme="majorEastAsia" w:hAnsi="Times New Roman" w:cstheme="majorBidi"/>
      <w:b/>
      <w:i/>
      <w:iCs/>
      <w:sz w:val="24"/>
    </w:rPr>
  </w:style>
  <w:style w:type="paragraph" w:styleId="Heading8">
    <w:name w:val="heading 8"/>
    <w:basedOn w:val="Normal"/>
    <w:next w:val="Normal"/>
    <w:link w:val="Heading8Char"/>
    <w:uiPriority w:val="9"/>
    <w:unhideWhenUsed/>
    <w:qFormat/>
    <w:rsid w:val="00D0400F"/>
    <w:pPr>
      <w:keepNext/>
      <w:keepLines/>
      <w:spacing w:after="0" w:line="240" w:lineRule="auto"/>
      <w:ind w:left="2160"/>
      <w:jc w:val="both"/>
      <w:outlineLvl w:val="7"/>
    </w:pPr>
    <w:rPr>
      <w:rFonts w:ascii="Times New Roman" w:eastAsiaTheme="majorEastAsia" w:hAnsi="Times New Roman" w:cstheme="majorBidi"/>
      <w:b/>
      <w:i/>
      <w:sz w:val="2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A89"/>
  </w:style>
  <w:style w:type="paragraph" w:styleId="Footer">
    <w:name w:val="footer"/>
    <w:basedOn w:val="Normal"/>
    <w:link w:val="FooterChar"/>
    <w:uiPriority w:val="99"/>
    <w:unhideWhenUsed/>
    <w:rsid w:val="00CD3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A89"/>
  </w:style>
  <w:style w:type="paragraph" w:customStyle="1" w:styleId="ReferHead">
    <w:name w:val="Refer Head"/>
    <w:basedOn w:val="Normal"/>
    <w:rsid w:val="00BB5B87"/>
    <w:pPr>
      <w:keepNext/>
      <w:spacing w:after="240" w:line="240" w:lineRule="auto"/>
    </w:pPr>
    <w:rPr>
      <w:rFonts w:ascii="Helvetica" w:eastAsia="Times New Roman" w:hAnsi="Helvetica" w:cs="Times New Roman"/>
      <w:b/>
      <w:caps/>
      <w:szCs w:val="20"/>
    </w:rPr>
  </w:style>
  <w:style w:type="character" w:styleId="Hyperlink">
    <w:name w:val="Hyperlink"/>
    <w:basedOn w:val="DefaultParagraphFont"/>
    <w:uiPriority w:val="99"/>
    <w:unhideWhenUsed/>
    <w:rsid w:val="0098174A"/>
    <w:rPr>
      <w:color w:val="0000FF" w:themeColor="hyperlink"/>
      <w:u w:val="single"/>
    </w:rPr>
  </w:style>
  <w:style w:type="paragraph" w:styleId="BalloonText">
    <w:name w:val="Balloon Text"/>
    <w:basedOn w:val="Normal"/>
    <w:link w:val="BalloonTextChar"/>
    <w:uiPriority w:val="99"/>
    <w:semiHidden/>
    <w:unhideWhenUsed/>
    <w:rsid w:val="00EB7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40E"/>
    <w:rPr>
      <w:rFonts w:ascii="Tahoma" w:hAnsi="Tahoma" w:cs="Tahoma"/>
      <w:sz w:val="16"/>
      <w:szCs w:val="16"/>
    </w:rPr>
  </w:style>
  <w:style w:type="character" w:customStyle="1" w:styleId="Heading1Char">
    <w:name w:val="Heading 1 Char"/>
    <w:basedOn w:val="DefaultParagraphFont"/>
    <w:link w:val="Heading1"/>
    <w:uiPriority w:val="9"/>
    <w:rsid w:val="00D0400F"/>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uiPriority w:val="9"/>
    <w:rsid w:val="00D0400F"/>
    <w:rPr>
      <w:rFonts w:ascii="Times New Roman" w:eastAsiaTheme="majorEastAsia" w:hAnsi="Times New Roman" w:cstheme="majorBidi"/>
      <w:b/>
      <w:bCs/>
      <w:sz w:val="32"/>
      <w:szCs w:val="26"/>
    </w:rPr>
  </w:style>
  <w:style w:type="character" w:customStyle="1" w:styleId="Heading3Char">
    <w:name w:val="Heading 3 Char"/>
    <w:basedOn w:val="DefaultParagraphFont"/>
    <w:link w:val="Heading3"/>
    <w:uiPriority w:val="9"/>
    <w:rsid w:val="00D0400F"/>
    <w:rPr>
      <w:rFonts w:ascii="Times New Roman" w:eastAsiaTheme="majorEastAsia" w:hAnsi="Times New Roman" w:cstheme="majorBidi"/>
      <w:b/>
      <w:bCs/>
      <w:sz w:val="19"/>
    </w:rPr>
  </w:style>
  <w:style w:type="character" w:customStyle="1" w:styleId="Heading4Char">
    <w:name w:val="Heading 4 Char"/>
    <w:basedOn w:val="DefaultParagraphFont"/>
    <w:link w:val="Heading4"/>
    <w:uiPriority w:val="9"/>
    <w:rsid w:val="00D0400F"/>
    <w:rPr>
      <w:rFonts w:ascii="Times New Roman" w:eastAsiaTheme="majorEastAsia" w:hAnsi="Times New Roman" w:cstheme="majorBidi"/>
      <w:b/>
      <w:bCs/>
      <w:iCs/>
      <w:sz w:val="19"/>
    </w:rPr>
  </w:style>
  <w:style w:type="character" w:customStyle="1" w:styleId="Heading5Char">
    <w:name w:val="Heading 5 Char"/>
    <w:basedOn w:val="DefaultParagraphFont"/>
    <w:link w:val="Heading5"/>
    <w:uiPriority w:val="9"/>
    <w:rsid w:val="00D0400F"/>
    <w:rPr>
      <w:rFonts w:ascii="Times New Roman" w:eastAsiaTheme="majorEastAsia" w:hAnsi="Times New Roman" w:cstheme="majorBidi"/>
      <w:b/>
      <w:sz w:val="19"/>
    </w:rPr>
  </w:style>
  <w:style w:type="character" w:customStyle="1" w:styleId="Heading6Char">
    <w:name w:val="Heading 6 Char"/>
    <w:basedOn w:val="DefaultParagraphFont"/>
    <w:link w:val="Heading6"/>
    <w:uiPriority w:val="9"/>
    <w:rsid w:val="00D0400F"/>
    <w:rPr>
      <w:rFonts w:ascii="Times New Roman" w:eastAsiaTheme="majorEastAsia" w:hAnsi="Times New Roman" w:cstheme="majorBidi"/>
      <w:b/>
      <w:sz w:val="19"/>
    </w:rPr>
  </w:style>
  <w:style w:type="character" w:customStyle="1" w:styleId="Heading7Char">
    <w:name w:val="Heading 7 Char"/>
    <w:basedOn w:val="DefaultParagraphFont"/>
    <w:link w:val="Heading7"/>
    <w:uiPriority w:val="9"/>
    <w:rsid w:val="00D0400F"/>
    <w:rPr>
      <w:rFonts w:ascii="Times New Roman" w:eastAsiaTheme="majorEastAsia" w:hAnsi="Times New Roman" w:cstheme="majorBidi"/>
      <w:b/>
      <w:i/>
      <w:iCs/>
      <w:sz w:val="24"/>
    </w:rPr>
  </w:style>
  <w:style w:type="character" w:customStyle="1" w:styleId="Heading8Char">
    <w:name w:val="Heading 8 Char"/>
    <w:basedOn w:val="DefaultParagraphFont"/>
    <w:link w:val="Heading8"/>
    <w:uiPriority w:val="9"/>
    <w:rsid w:val="00D0400F"/>
    <w:rPr>
      <w:rFonts w:ascii="Times New Roman" w:eastAsiaTheme="majorEastAsia" w:hAnsi="Times New Roman" w:cstheme="majorBidi"/>
      <w:b/>
      <w:i/>
      <w:sz w:val="20"/>
      <w:szCs w:val="21"/>
    </w:rPr>
  </w:style>
  <w:style w:type="paragraph" w:styleId="BodyText">
    <w:name w:val="Body Text"/>
    <w:basedOn w:val="Normal"/>
    <w:link w:val="BodyTextChar"/>
    <w:uiPriority w:val="1"/>
    <w:qFormat/>
    <w:rsid w:val="0083750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3750D"/>
    <w:rPr>
      <w:rFonts w:ascii="Times New Roman" w:eastAsia="Times New Roman" w:hAnsi="Times New Roman" w:cs="Times New Roman"/>
      <w:sz w:val="24"/>
      <w:szCs w:val="24"/>
    </w:rPr>
  </w:style>
  <w:style w:type="character" w:styleId="Emphasis">
    <w:name w:val="Emphasis"/>
    <w:basedOn w:val="DefaultParagraphFont"/>
    <w:uiPriority w:val="20"/>
    <w:qFormat/>
    <w:rsid w:val="0083750D"/>
    <w:rPr>
      <w:i/>
      <w:iCs/>
    </w:rPr>
  </w:style>
  <w:style w:type="numbering" w:customStyle="1" w:styleId="NoList1">
    <w:name w:val="No List1"/>
    <w:next w:val="NoList"/>
    <w:uiPriority w:val="99"/>
    <w:semiHidden/>
    <w:unhideWhenUsed/>
    <w:rsid w:val="0083750D"/>
  </w:style>
  <w:style w:type="paragraph" w:styleId="ListParagraph">
    <w:name w:val="List Paragraph"/>
    <w:basedOn w:val="Normal"/>
    <w:uiPriority w:val="1"/>
    <w:qFormat/>
    <w:rsid w:val="0083750D"/>
    <w:pPr>
      <w:widowControl w:val="0"/>
      <w:autoSpaceDE w:val="0"/>
      <w:autoSpaceDN w:val="0"/>
      <w:spacing w:after="0" w:line="240" w:lineRule="auto"/>
      <w:ind w:left="1007" w:hanging="360"/>
    </w:pPr>
    <w:rPr>
      <w:rFonts w:ascii="Times New Roman" w:eastAsia="Times New Roman" w:hAnsi="Times New Roman" w:cs="Times New Roman"/>
    </w:rPr>
  </w:style>
  <w:style w:type="paragraph" w:customStyle="1" w:styleId="TableParagraph">
    <w:name w:val="Table Paragraph"/>
    <w:basedOn w:val="Normal"/>
    <w:uiPriority w:val="1"/>
    <w:qFormat/>
    <w:rsid w:val="0083750D"/>
    <w:pPr>
      <w:widowControl w:val="0"/>
      <w:autoSpaceDE w:val="0"/>
      <w:autoSpaceDN w:val="0"/>
      <w:spacing w:after="0" w:line="240" w:lineRule="auto"/>
      <w:ind w:left="97"/>
    </w:pPr>
    <w:rPr>
      <w:rFonts w:ascii="Times New Roman" w:eastAsia="Times New Roman" w:hAnsi="Times New Roman" w:cs="Times New Roman"/>
    </w:rPr>
  </w:style>
  <w:style w:type="paragraph" w:customStyle="1" w:styleId="pdq2pgselectionanchorcontainer">
    <w:name w:val="pdq2pg_selectionanchorcontainer"/>
    <w:basedOn w:val="Normal"/>
    <w:rsid w:val="008375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750D"/>
    <w:rPr>
      <w:b/>
      <w:bCs/>
    </w:rPr>
  </w:style>
  <w:style w:type="paragraph" w:styleId="NormalWeb">
    <w:name w:val="Normal (Web)"/>
    <w:basedOn w:val="Normal"/>
    <w:uiPriority w:val="99"/>
    <w:semiHidden/>
    <w:unhideWhenUsed/>
    <w:rsid w:val="0083750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37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C6CD3"/>
    <w:rPr>
      <w:color w:val="605E5C"/>
      <w:shd w:val="clear" w:color="auto" w:fill="E1DFDD"/>
    </w:rPr>
  </w:style>
  <w:style w:type="character" w:styleId="CommentReference">
    <w:name w:val="annotation reference"/>
    <w:basedOn w:val="DefaultParagraphFont"/>
    <w:uiPriority w:val="99"/>
    <w:semiHidden/>
    <w:unhideWhenUsed/>
    <w:rsid w:val="0070357C"/>
    <w:rPr>
      <w:sz w:val="16"/>
      <w:szCs w:val="16"/>
    </w:rPr>
  </w:style>
  <w:style w:type="paragraph" w:styleId="CommentText">
    <w:name w:val="annotation text"/>
    <w:basedOn w:val="Normal"/>
    <w:link w:val="CommentTextChar"/>
    <w:uiPriority w:val="99"/>
    <w:semiHidden/>
    <w:unhideWhenUsed/>
    <w:rsid w:val="0070357C"/>
    <w:pPr>
      <w:spacing w:line="240" w:lineRule="auto"/>
    </w:pPr>
    <w:rPr>
      <w:sz w:val="20"/>
      <w:szCs w:val="20"/>
    </w:rPr>
  </w:style>
  <w:style w:type="character" w:customStyle="1" w:styleId="CommentTextChar">
    <w:name w:val="Comment Text Char"/>
    <w:basedOn w:val="DefaultParagraphFont"/>
    <w:link w:val="CommentText"/>
    <w:uiPriority w:val="99"/>
    <w:semiHidden/>
    <w:rsid w:val="0070357C"/>
    <w:rPr>
      <w:sz w:val="20"/>
      <w:szCs w:val="20"/>
    </w:rPr>
  </w:style>
  <w:style w:type="paragraph" w:styleId="CommentSubject">
    <w:name w:val="annotation subject"/>
    <w:basedOn w:val="CommentText"/>
    <w:next w:val="CommentText"/>
    <w:link w:val="CommentSubjectChar"/>
    <w:uiPriority w:val="99"/>
    <w:semiHidden/>
    <w:unhideWhenUsed/>
    <w:rsid w:val="0070357C"/>
    <w:rPr>
      <w:b/>
      <w:bCs/>
    </w:rPr>
  </w:style>
  <w:style w:type="character" w:customStyle="1" w:styleId="CommentSubjectChar">
    <w:name w:val="Comment Subject Char"/>
    <w:basedOn w:val="CommentTextChar"/>
    <w:link w:val="CommentSubject"/>
    <w:uiPriority w:val="99"/>
    <w:semiHidden/>
    <w:rsid w:val="0070357C"/>
    <w:rPr>
      <w:b/>
      <w:bCs/>
      <w:sz w:val="20"/>
      <w:szCs w:val="20"/>
    </w:rPr>
  </w:style>
  <w:style w:type="paragraph" w:customStyle="1" w:styleId="FrameContents">
    <w:name w:val="Frame Contents"/>
    <w:basedOn w:val="Normal"/>
    <w:qFormat/>
    <w:rsid w:val="00D35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00812">
      <w:bodyDiv w:val="1"/>
      <w:marLeft w:val="0"/>
      <w:marRight w:val="0"/>
      <w:marTop w:val="0"/>
      <w:marBottom w:val="0"/>
      <w:divBdr>
        <w:top w:val="none" w:sz="0" w:space="0" w:color="auto"/>
        <w:left w:val="none" w:sz="0" w:space="0" w:color="auto"/>
        <w:bottom w:val="none" w:sz="0" w:space="0" w:color="auto"/>
        <w:right w:val="none" w:sz="0" w:space="0" w:color="auto"/>
      </w:divBdr>
    </w:div>
    <w:div w:id="420218019">
      <w:bodyDiv w:val="1"/>
      <w:marLeft w:val="0"/>
      <w:marRight w:val="0"/>
      <w:marTop w:val="0"/>
      <w:marBottom w:val="0"/>
      <w:divBdr>
        <w:top w:val="none" w:sz="0" w:space="0" w:color="auto"/>
        <w:left w:val="none" w:sz="0" w:space="0" w:color="auto"/>
        <w:bottom w:val="none" w:sz="0" w:space="0" w:color="auto"/>
        <w:right w:val="none" w:sz="0" w:space="0" w:color="auto"/>
      </w:divBdr>
    </w:div>
    <w:div w:id="501748835">
      <w:bodyDiv w:val="1"/>
      <w:marLeft w:val="0"/>
      <w:marRight w:val="0"/>
      <w:marTop w:val="0"/>
      <w:marBottom w:val="0"/>
      <w:divBdr>
        <w:top w:val="none" w:sz="0" w:space="0" w:color="auto"/>
        <w:left w:val="none" w:sz="0" w:space="0" w:color="auto"/>
        <w:bottom w:val="none" w:sz="0" w:space="0" w:color="auto"/>
        <w:right w:val="none" w:sz="0" w:space="0" w:color="auto"/>
      </w:divBdr>
    </w:div>
    <w:div w:id="561719471">
      <w:bodyDiv w:val="1"/>
      <w:marLeft w:val="0"/>
      <w:marRight w:val="0"/>
      <w:marTop w:val="0"/>
      <w:marBottom w:val="0"/>
      <w:divBdr>
        <w:top w:val="none" w:sz="0" w:space="0" w:color="auto"/>
        <w:left w:val="none" w:sz="0" w:space="0" w:color="auto"/>
        <w:bottom w:val="none" w:sz="0" w:space="0" w:color="auto"/>
        <w:right w:val="none" w:sz="0" w:space="0" w:color="auto"/>
      </w:divBdr>
    </w:div>
    <w:div w:id="706951751">
      <w:bodyDiv w:val="1"/>
      <w:marLeft w:val="0"/>
      <w:marRight w:val="0"/>
      <w:marTop w:val="0"/>
      <w:marBottom w:val="0"/>
      <w:divBdr>
        <w:top w:val="none" w:sz="0" w:space="0" w:color="auto"/>
        <w:left w:val="none" w:sz="0" w:space="0" w:color="auto"/>
        <w:bottom w:val="none" w:sz="0" w:space="0" w:color="auto"/>
        <w:right w:val="none" w:sz="0" w:space="0" w:color="auto"/>
      </w:divBdr>
    </w:div>
    <w:div w:id="154556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00203-023-03416-z" TargetMode="External"/><Relationship Id="rId18" Type="http://schemas.openxmlformats.org/officeDocument/2006/relationships/hyperlink" Target="https://doi.org/10.3390/pathogens15010084" TargetMode="External"/><Relationship Id="rId26" Type="http://schemas.openxmlformats.org/officeDocument/2006/relationships/hyperlink" Target="https://doi.org/10.1016/j.envres.2023.116612" TargetMode="External"/><Relationship Id="rId39" Type="http://schemas.openxmlformats.org/officeDocument/2006/relationships/hyperlink" Target="https://doi.org/10.1016/j.etap.2026.105066" TargetMode="External"/><Relationship Id="rId21" Type="http://schemas.openxmlformats.org/officeDocument/2006/relationships/hyperlink" Target="https://doi.org/10.1007/s10646-012-0863-x" TargetMode="External"/><Relationship Id="rId34" Type="http://schemas.openxmlformats.org/officeDocument/2006/relationships/hyperlink" Target="https://doi.org/10.1080/00218839.2004.11101115" TargetMode="External"/><Relationship Id="rId42" Type="http://schemas.openxmlformats.org/officeDocument/2006/relationships/hyperlink" Target="https://doi.org/10.1111/j.1600-0706.2010.18644.x" TargetMode="External"/><Relationship Id="rId47" Type="http://schemas.openxmlformats.org/officeDocument/2006/relationships/hyperlink" Target="https://doi.org/10.1007/s11356-023-28051-5" TargetMode="External"/><Relationship Id="rId50" Type="http://schemas.openxmlformats.org/officeDocument/2006/relationships/hyperlink" Target="https://doi.org/10.1023/A:1022575315413" TargetMode="External"/><Relationship Id="rId55" Type="http://schemas.openxmlformats.org/officeDocument/2006/relationships/hyperlink" Target="https://doi.org/10.1371/journal.pone.0077547"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56557/upjoz/2025/v46i195266" TargetMode="External"/><Relationship Id="rId29" Type="http://schemas.openxmlformats.org/officeDocument/2006/relationships/hyperlink" Target="https://doi.org/10.18805/IJARe.A-4907" TargetMode="External"/><Relationship Id="rId11" Type="http://schemas.openxmlformats.org/officeDocument/2006/relationships/image" Target="media/image3.png"/><Relationship Id="rId24" Type="http://schemas.openxmlformats.org/officeDocument/2006/relationships/hyperlink" Target="https://doi.org/10.55446/IJE.2021.282" TargetMode="External"/><Relationship Id="rId32" Type="http://schemas.openxmlformats.org/officeDocument/2006/relationships/hyperlink" Target="https://doi.org/10.5958/0974-8172.2018.00088.3" TargetMode="External"/><Relationship Id="rId37" Type="http://schemas.openxmlformats.org/officeDocument/2006/relationships/hyperlink" Target="https://doi.org/10.1038/s41579-023-00990-3" TargetMode="External"/><Relationship Id="rId40" Type="http://schemas.openxmlformats.org/officeDocument/2006/relationships/hyperlink" Target="https://doi.org/10.1016/j.cois.2025.101416" TargetMode="External"/><Relationship Id="rId45" Type="http://schemas.openxmlformats.org/officeDocument/2006/relationships/hyperlink" Target="https://doi.org/10.1016/j.biocon.2019.01.020" TargetMode="External"/><Relationship Id="rId53" Type="http://schemas.openxmlformats.org/officeDocument/2006/relationships/hyperlink" Target="https://doi.org/10.1111/gcb.17219" TargetMode="External"/><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doi.org/10.1016/j.etap.2026.105142" TargetMode="External"/><Relationship Id="rId14" Type="http://schemas.openxmlformats.org/officeDocument/2006/relationships/hyperlink" Target="https://doi.org/10.1002/inc3.74" TargetMode="External"/><Relationship Id="rId22" Type="http://schemas.openxmlformats.org/officeDocument/2006/relationships/hyperlink" Target="https://doi.org/10.1371/journal.pone.0037235" TargetMode="External"/><Relationship Id="rId27" Type="http://schemas.openxmlformats.org/officeDocument/2006/relationships/hyperlink" Target="https://doi.org/10.1152/physiol.00033.2023" TargetMode="External"/><Relationship Id="rId30" Type="http://schemas.openxmlformats.org/officeDocument/2006/relationships/hyperlink" Target="https://doi.org/10.1126/science.1255957" TargetMode="External"/><Relationship Id="rId35" Type="http://schemas.openxmlformats.org/officeDocument/2006/relationships/hyperlink" Target="https://doi.org/10.1098/rspb.2006.3721" TargetMode="External"/><Relationship Id="rId43" Type="http://schemas.openxmlformats.org/officeDocument/2006/relationships/hyperlink" Target="https://doi.org/10.1016/j.tree.2010.01.007" TargetMode="External"/><Relationship Id="rId48" Type="http://schemas.openxmlformats.org/officeDocument/2006/relationships/hyperlink" Target="https://doi.org/10.56093/ijas.v87i2.67663" TargetMode="External"/><Relationship Id="rId56" Type="http://schemas.openxmlformats.org/officeDocument/2006/relationships/hyperlink" Target="https://pr.sdiarticle5.com/review-history/166665" TargetMode="External"/><Relationship Id="rId8" Type="http://schemas.openxmlformats.org/officeDocument/2006/relationships/hyperlink" Target="https://doi.org/10.9734/ajriz/2026/v9i4326" TargetMode="External"/><Relationship Id="rId51" Type="http://schemas.openxmlformats.org/officeDocument/2006/relationships/hyperlink" Target="https://doi.org/10.55446/IJE.2023.1165"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doi.org/10.1073/pnas.1115559108" TargetMode="External"/><Relationship Id="rId25" Type="http://schemas.openxmlformats.org/officeDocument/2006/relationships/hyperlink" Target="https://doi.org/10.1016/j.cois.2015.05.007" TargetMode="External"/><Relationship Id="rId33" Type="http://schemas.openxmlformats.org/officeDocument/2006/relationships/hyperlink" Target="https://doi.org/10.3390/insects12080688" TargetMode="External"/><Relationship Id="rId38" Type="http://schemas.openxmlformats.org/officeDocument/2006/relationships/hyperlink" Target="https://doi.org/10.1371/journal.pone.0009754" TargetMode="External"/><Relationship Id="rId46" Type="http://schemas.openxmlformats.org/officeDocument/2006/relationships/hyperlink" Target="https://doi.org/10.3390/insects16060560" TargetMode="External"/><Relationship Id="rId59" Type="http://schemas.openxmlformats.org/officeDocument/2006/relationships/footer" Target="footer2.xml"/><Relationship Id="rId20" Type="http://schemas.openxmlformats.org/officeDocument/2006/relationships/hyperlink" Target="https://doi.org/10.1111/eea.70001" TargetMode="External"/><Relationship Id="rId41" Type="http://schemas.openxmlformats.org/officeDocument/2006/relationships/hyperlink" Target="https://doi.org/10.1002/vms3.1194" TargetMode="External"/><Relationship Id="rId54" Type="http://schemas.openxmlformats.org/officeDocument/2006/relationships/hyperlink" Target="https://doi.org/10.1016/j.scitotenv.2023.16567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98/rsbl.2009.0986" TargetMode="External"/><Relationship Id="rId23" Type="http://schemas.openxmlformats.org/officeDocument/2006/relationships/hyperlink" Target="https://doi.org/10.1016/j.coesh.2024.100569" TargetMode="External"/><Relationship Id="rId28" Type="http://schemas.openxmlformats.org/officeDocument/2006/relationships/hyperlink" Target="https://doi.org/10.1111/1748-5967.70069" TargetMode="External"/><Relationship Id="rId36" Type="http://schemas.openxmlformats.org/officeDocument/2006/relationships/hyperlink" Target="https://doi.org/10.1016/j.cois.2015.01.015" TargetMode="External"/><Relationship Id="rId49" Type="http://schemas.openxmlformats.org/officeDocument/2006/relationships/hyperlink" Target="https://doi.org/10.1016/j.chemosphere.2014.07.039" TargetMode="External"/><Relationship Id="rId57" Type="http://schemas.openxmlformats.org/officeDocument/2006/relationships/header" Target="header1.xml"/><Relationship Id="rId10" Type="http://schemas.openxmlformats.org/officeDocument/2006/relationships/image" Target="media/image2.png"/><Relationship Id="rId31" Type="http://schemas.openxmlformats.org/officeDocument/2006/relationships/hyperlink" Target="https://doi.org/10.1016/j.scitotenv.2024.175125" TargetMode="External"/><Relationship Id="rId44" Type="http://schemas.openxmlformats.org/officeDocument/2006/relationships/hyperlink" Target="https://doi.org/10.9734/jabb/2026/v29i23659" TargetMode="External"/><Relationship Id="rId52" Type="http://schemas.openxmlformats.org/officeDocument/2006/relationships/hyperlink" Target="https://doi.org/10.1126/science.aaa1190"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sdiarticle5.com/review-history/166665"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imanshujaiswal23120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12</Pages>
  <Words>8671</Words>
  <Characters>49431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SDI PC 1180</dc:creator>
  <cp:lastModifiedBy>SDI 1137</cp:lastModifiedBy>
  <cp:revision>5</cp:revision>
  <dcterms:created xsi:type="dcterms:W3CDTF">2026-10-22T11:02:00Z</dcterms:created>
  <dcterms:modified xsi:type="dcterms:W3CDTF">2026-10-22T12:27:00Z</dcterms:modified>
</cp:coreProperties>
</file>